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21" w:rsidRPr="004702A0" w:rsidRDefault="00A20621" w:rsidP="00A20621">
      <w:pPr>
        <w:pStyle w:val="1"/>
        <w:spacing w:after="0"/>
        <w:jc w:val="left"/>
        <w:rPr>
          <w:color w:val="auto"/>
          <w:sz w:val="26"/>
          <w:szCs w:val="26"/>
        </w:rPr>
      </w:pPr>
      <w:bookmarkStart w:id="0" w:name="_Toc40282031"/>
      <w:r w:rsidRPr="004702A0">
        <w:rPr>
          <w:color w:val="auto"/>
          <w:sz w:val="26"/>
          <w:szCs w:val="26"/>
        </w:rPr>
        <w:t xml:space="preserve">В перечень расходов, учитываемых при налогообложении, включены затраты на борьбу с распространением </w:t>
      </w:r>
      <w:proofErr w:type="spellStart"/>
      <w:r w:rsidRPr="004702A0">
        <w:rPr>
          <w:color w:val="auto"/>
          <w:sz w:val="26"/>
          <w:szCs w:val="26"/>
        </w:rPr>
        <w:t>коронавируса</w:t>
      </w:r>
      <w:bookmarkEnd w:id="0"/>
      <w:proofErr w:type="spellEnd"/>
    </w:p>
    <w:p w:rsidR="00A20621" w:rsidRPr="0047309B" w:rsidRDefault="00A20621" w:rsidP="00A20621">
      <w:pPr>
        <w:spacing w:line="240" w:lineRule="auto"/>
        <w:rPr>
          <w:highlight w:val="yellow"/>
          <w:lang w:eastAsia="ar-SA"/>
        </w:rPr>
      </w:pPr>
    </w:p>
    <w:p w:rsidR="00A20621" w:rsidRPr="004702A0" w:rsidRDefault="00A20621" w:rsidP="00A20621">
      <w:pPr>
        <w:spacing w:line="240" w:lineRule="auto"/>
        <w:ind w:firstLine="709"/>
        <w:jc w:val="both"/>
        <w:rPr>
          <w:color w:val="111111"/>
          <w:sz w:val="26"/>
          <w:szCs w:val="26"/>
        </w:rPr>
      </w:pPr>
      <w:r w:rsidRPr="004702A0">
        <w:rPr>
          <w:color w:val="111111"/>
          <w:sz w:val="26"/>
          <w:szCs w:val="26"/>
        </w:rPr>
        <w:t xml:space="preserve">В расходах по налогу на прибыль можно учесть затраты на дезинфекцию помещений, приобретение приборов, лабораторного оборудования, спецодежды и других средств индивидуальной и коллективной защиты, не указанных в </w:t>
      </w:r>
      <w:proofErr w:type="spellStart"/>
      <w:r w:rsidRPr="004702A0">
        <w:rPr>
          <w:color w:val="111111"/>
          <w:sz w:val="26"/>
          <w:szCs w:val="26"/>
        </w:rPr>
        <w:t>пп</w:t>
      </w:r>
      <w:proofErr w:type="spellEnd"/>
      <w:r w:rsidRPr="004702A0">
        <w:rPr>
          <w:color w:val="111111"/>
          <w:sz w:val="26"/>
          <w:szCs w:val="26"/>
        </w:rPr>
        <w:t>. 3 п. 1 ст. 254 НК РФ.</w:t>
      </w:r>
    </w:p>
    <w:p w:rsidR="00A20621" w:rsidRPr="004702A0" w:rsidRDefault="00A20621" w:rsidP="00A20621">
      <w:pPr>
        <w:spacing w:line="240" w:lineRule="auto"/>
        <w:ind w:firstLine="709"/>
        <w:jc w:val="both"/>
        <w:rPr>
          <w:color w:val="111111"/>
          <w:sz w:val="26"/>
          <w:szCs w:val="26"/>
        </w:rPr>
      </w:pPr>
      <w:r w:rsidRPr="004702A0">
        <w:rPr>
          <w:color w:val="111111"/>
          <w:sz w:val="26"/>
          <w:szCs w:val="26"/>
        </w:rPr>
        <w:t xml:space="preserve">Эти расходы должны быть направлены на выполнение санитарно-эпидемиологических и гигиенических требований в связи с распространением новой </w:t>
      </w:r>
      <w:proofErr w:type="spellStart"/>
      <w:r w:rsidRPr="004702A0">
        <w:rPr>
          <w:color w:val="111111"/>
          <w:sz w:val="26"/>
          <w:szCs w:val="26"/>
        </w:rPr>
        <w:t>коронавирусной</w:t>
      </w:r>
      <w:proofErr w:type="spellEnd"/>
      <w:r w:rsidRPr="004702A0">
        <w:rPr>
          <w:color w:val="111111"/>
          <w:sz w:val="26"/>
          <w:szCs w:val="26"/>
        </w:rPr>
        <w:t xml:space="preserve"> инфекции. Если с этой же целью налогоплательщики, применяющие ЕСХН или УСН, например, произвели затраты на проведение дезинфекции помещений, то они могут включить их в расходы.</w:t>
      </w:r>
    </w:p>
    <w:p w:rsidR="00A20621" w:rsidRPr="004702A0" w:rsidRDefault="00A20621" w:rsidP="00A20621">
      <w:pPr>
        <w:spacing w:line="240" w:lineRule="auto"/>
        <w:ind w:firstLine="709"/>
        <w:jc w:val="both"/>
        <w:rPr>
          <w:color w:val="111111"/>
          <w:sz w:val="26"/>
          <w:szCs w:val="26"/>
        </w:rPr>
      </w:pPr>
      <w:r w:rsidRPr="004702A0">
        <w:rPr>
          <w:color w:val="111111"/>
          <w:sz w:val="26"/>
          <w:szCs w:val="26"/>
        </w:rPr>
        <w:t xml:space="preserve">Также в расходы по налогу на прибыль можно включить затраты </w:t>
      </w:r>
      <w:proofErr w:type="gramStart"/>
      <w:r w:rsidRPr="004702A0">
        <w:rPr>
          <w:color w:val="111111"/>
          <w:sz w:val="26"/>
          <w:szCs w:val="26"/>
        </w:rPr>
        <w:t>на</w:t>
      </w:r>
      <w:proofErr w:type="gramEnd"/>
      <w:r w:rsidRPr="004702A0">
        <w:rPr>
          <w:color w:val="111111"/>
          <w:sz w:val="26"/>
          <w:szCs w:val="26"/>
        </w:rPr>
        <w:t>:</w:t>
      </w:r>
    </w:p>
    <w:p w:rsidR="00A20621" w:rsidRPr="00F11DB3" w:rsidRDefault="00A20621" w:rsidP="00A2062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F11DB3">
        <w:rPr>
          <w:rFonts w:ascii="Times New Roman" w:hAnsi="Times New Roman" w:cs="Times New Roman"/>
          <w:color w:val="111111"/>
          <w:sz w:val="26"/>
          <w:szCs w:val="26"/>
        </w:rPr>
        <w:t xml:space="preserve">приобретение медицинских изделий для диагностики (лечения) новой </w:t>
      </w:r>
      <w:proofErr w:type="spellStart"/>
      <w:r w:rsidRPr="00F11DB3">
        <w:rPr>
          <w:rFonts w:ascii="Times New Roman" w:hAnsi="Times New Roman" w:cs="Times New Roman"/>
          <w:color w:val="111111"/>
          <w:sz w:val="26"/>
          <w:szCs w:val="26"/>
        </w:rPr>
        <w:t>коронавирусной</w:t>
      </w:r>
      <w:proofErr w:type="spellEnd"/>
      <w:r w:rsidRPr="00F11DB3">
        <w:rPr>
          <w:rFonts w:ascii="Times New Roman" w:hAnsi="Times New Roman" w:cs="Times New Roman"/>
          <w:color w:val="111111"/>
          <w:sz w:val="26"/>
          <w:szCs w:val="26"/>
        </w:rPr>
        <w:t xml:space="preserve"> инфекции по перечню, утверждаемому Правительством РФ;</w:t>
      </w:r>
    </w:p>
    <w:p w:rsidR="00A20621" w:rsidRPr="00F11DB3" w:rsidRDefault="00A20621" w:rsidP="00A2062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F11DB3">
        <w:rPr>
          <w:rFonts w:ascii="Times New Roman" w:hAnsi="Times New Roman" w:cs="Times New Roman"/>
          <w:color w:val="111111"/>
          <w:sz w:val="26"/>
          <w:szCs w:val="26"/>
        </w:rPr>
        <w:t>сооружение, изготовление, доставку и доведение указанных медицинских изделий до состояния, в котором они пригодны для использования.</w:t>
      </w:r>
    </w:p>
    <w:p w:rsidR="00A20621" w:rsidRPr="004702A0" w:rsidRDefault="00A20621" w:rsidP="00A20621">
      <w:pPr>
        <w:spacing w:line="240" w:lineRule="auto"/>
        <w:ind w:firstLine="709"/>
        <w:jc w:val="both"/>
        <w:rPr>
          <w:color w:val="111111"/>
          <w:sz w:val="26"/>
          <w:szCs w:val="26"/>
        </w:rPr>
      </w:pPr>
      <w:r w:rsidRPr="004702A0">
        <w:rPr>
          <w:color w:val="111111"/>
          <w:sz w:val="26"/>
          <w:szCs w:val="26"/>
        </w:rPr>
        <w:t>Такие медицинские изделия не подлежат амортизации. Приведенные положения распространяются на правоотношения, возникшие с 1 января 2020 г.</w:t>
      </w:r>
    </w:p>
    <w:p w:rsidR="00A20621" w:rsidRDefault="00A20621" w:rsidP="00A20621">
      <w:pPr>
        <w:rPr>
          <w:color w:val="111111"/>
          <w:sz w:val="27"/>
          <w:szCs w:val="27"/>
        </w:rPr>
      </w:pPr>
    </w:p>
    <w:p w:rsidR="00A20621" w:rsidRPr="00246E99" w:rsidRDefault="00A20621" w:rsidP="00A20621">
      <w:pPr>
        <w:rPr>
          <w:rStyle w:val="a3"/>
          <w:i/>
          <w:sz w:val="26"/>
          <w:szCs w:val="26"/>
        </w:rPr>
      </w:pPr>
      <w:r w:rsidRPr="00246E99">
        <w:rPr>
          <w:i/>
          <w:color w:val="auto"/>
          <w:sz w:val="26"/>
          <w:szCs w:val="26"/>
        </w:rPr>
        <w:t xml:space="preserve">Источник: официальный сайт </w:t>
      </w:r>
      <w:r>
        <w:rPr>
          <w:i/>
          <w:color w:val="auto"/>
          <w:sz w:val="26"/>
          <w:szCs w:val="26"/>
          <w:shd w:val="clear" w:color="auto" w:fill="FFFFFF"/>
        </w:rPr>
        <w:t>компании Консультант-Плюс</w:t>
      </w:r>
      <w:r w:rsidRPr="00246E99">
        <w:rPr>
          <w:i/>
          <w:color w:val="auto"/>
          <w:sz w:val="26"/>
          <w:szCs w:val="26"/>
          <w:shd w:val="clear" w:color="auto" w:fill="FFFFFF"/>
        </w:rPr>
        <w:t xml:space="preserve"> </w:t>
      </w:r>
      <w:hyperlink r:id="rId5" w:history="1">
        <w:r w:rsidRPr="009379A5">
          <w:rPr>
            <w:rStyle w:val="a3"/>
            <w:i/>
            <w:sz w:val="26"/>
            <w:szCs w:val="26"/>
          </w:rPr>
          <w:t>http://www.consultant.ru/document/cons_doc_LAW_348585/7ee794f117708893a2f066e040849c2b8c61237d/</w:t>
        </w:r>
      </w:hyperlink>
      <w:r>
        <w:rPr>
          <w:rStyle w:val="a3"/>
          <w:i/>
          <w:sz w:val="26"/>
          <w:szCs w:val="26"/>
        </w:rPr>
        <w:t xml:space="preserve"> </w:t>
      </w:r>
    </w:p>
    <w:p w:rsidR="00FB70EF" w:rsidRDefault="00FB70EF"/>
    <w:sectPr w:rsidR="00FB70EF" w:rsidSect="00FB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656CA"/>
    <w:multiLevelType w:val="hybridMultilevel"/>
    <w:tmpl w:val="02F85F08"/>
    <w:lvl w:ilvl="0" w:tplc="B73CF39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621"/>
    <w:rsid w:val="00A20621"/>
    <w:rsid w:val="00FB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21"/>
    <w:pPr>
      <w:spacing w:after="0"/>
      <w:ind w:firstLine="851"/>
    </w:pPr>
    <w:rPr>
      <w:rFonts w:ascii="Times New Roman" w:eastAsia="Times New Roman" w:hAnsi="Times New Roman" w:cs="Times New Roman"/>
      <w:color w:val="30303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20621"/>
    <w:pPr>
      <w:keepNext/>
      <w:keepLines/>
      <w:widowControl w:val="0"/>
      <w:suppressAutoHyphens/>
      <w:autoSpaceDE w:val="0"/>
      <w:spacing w:after="120" w:line="240" w:lineRule="auto"/>
      <w:ind w:firstLine="0"/>
      <w:jc w:val="center"/>
      <w:outlineLvl w:val="0"/>
    </w:pPr>
    <w:rPr>
      <w:b/>
      <w:bCs/>
      <w:color w:val="404040"/>
      <w:kern w:val="36"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621"/>
    <w:rPr>
      <w:rFonts w:ascii="Times New Roman" w:eastAsia="Times New Roman" w:hAnsi="Times New Roman" w:cs="Times New Roman"/>
      <w:b/>
      <w:bCs/>
      <w:color w:val="404040"/>
      <w:kern w:val="36"/>
      <w:sz w:val="32"/>
      <w:szCs w:val="28"/>
      <w:lang w:eastAsia="ar-SA"/>
    </w:rPr>
  </w:style>
  <w:style w:type="character" w:styleId="a3">
    <w:name w:val="Hyperlink"/>
    <w:basedOn w:val="a0"/>
    <w:uiPriority w:val="99"/>
    <w:unhideWhenUsed/>
    <w:rsid w:val="00A2062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0621"/>
    <w:pPr>
      <w:spacing w:after="200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8585/7ee794f117708893a2f066e040849c2b8c61237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2020-05-20T05:23:00Z</dcterms:created>
  <dcterms:modified xsi:type="dcterms:W3CDTF">2020-05-20T05:24:00Z</dcterms:modified>
</cp:coreProperties>
</file>