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14" w:rsidRDefault="002B7B14" w:rsidP="00921686">
      <w:pPr>
        <w:spacing w:after="0"/>
        <w:ind w:left="606" w:right="903"/>
        <w:jc w:val="center"/>
        <w:rPr>
          <w:rFonts w:ascii="Times New Roman" w:hAnsi="Times New Roman"/>
          <w:b/>
          <w:sz w:val="28"/>
          <w:szCs w:val="28"/>
        </w:rPr>
      </w:pPr>
      <w:bookmarkStart w:id="0" w:name="_GoBack"/>
      <w:bookmarkEnd w:id="0"/>
      <w:r>
        <w:rPr>
          <w:rFonts w:ascii="Times New Roman" w:hAnsi="Times New Roman"/>
          <w:b/>
          <w:sz w:val="28"/>
          <w:szCs w:val="28"/>
        </w:rPr>
        <w:t xml:space="preserve">Руководство по соблюдению обязательных </w:t>
      </w:r>
    </w:p>
    <w:p w:rsidR="002B7B14" w:rsidRDefault="002B7B14" w:rsidP="00921686">
      <w:pPr>
        <w:spacing w:after="0"/>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667038">
      <w:pPr>
        <w:spacing w:after="100" w:afterAutospacing="1"/>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2B7B14" w:rsidRDefault="002B7B14" w:rsidP="00060918">
      <w:pPr>
        <w:widowControl w:val="0"/>
        <w:spacing w:before="120"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Default="002B7B14" w:rsidP="00060918">
      <w:pPr>
        <w:tabs>
          <w:tab w:val="left" w:pos="0"/>
        </w:tabs>
        <w:suppressAutoHyphens/>
        <w:autoSpaceDE w:val="0"/>
        <w:spacing w:after="12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w:t>
      </w:r>
      <w:r w:rsidR="0006091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2B7B14" w:rsidRDefault="002B7B14" w:rsidP="00667038">
      <w:pPr>
        <w:tabs>
          <w:tab w:val="left" w:pos="0"/>
        </w:tabs>
        <w:suppressAutoHyphens/>
        <w:autoSpaceDE w:val="0"/>
        <w:spacing w:after="100" w:afterAutospacing="1"/>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w:t>
      </w:r>
      <w:r w:rsidR="0066703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2B7B14" w:rsidRDefault="002B7B14" w:rsidP="00060918">
      <w:pPr>
        <w:widowControl w:val="0"/>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Разъяснение новых требований нормативных</w:t>
      </w:r>
    </w:p>
    <w:p w:rsidR="002B7B14" w:rsidRDefault="002B7B14" w:rsidP="00667038">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правовых актов о муниципальном торговом контроле</w:t>
      </w:r>
    </w:p>
    <w:p w:rsidR="002B7B14" w:rsidRDefault="002B7B14" w:rsidP="00667038">
      <w:pPr>
        <w:widowControl w:val="0"/>
        <w:autoSpaceDE w:val="0"/>
        <w:autoSpaceDN w:val="0"/>
        <w:adjustRightInd w:val="0"/>
        <w:spacing w:after="100" w:afterAutospacing="1"/>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60918" w:rsidRDefault="002B7B14" w:rsidP="00667038">
      <w:pPr>
        <w:widowControl w:val="0"/>
        <w:spacing w:after="12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Ведение работы по профилактике соблюдения обязательных требований</w:t>
      </w:r>
    </w:p>
    <w:p w:rsidR="002B7B14" w:rsidRPr="00060918" w:rsidRDefault="002B7B14" w:rsidP="00060918">
      <w:pPr>
        <w:widowControl w:val="0"/>
        <w:ind w:firstLine="708"/>
        <w:jc w:val="both"/>
        <w:rPr>
          <w:rFonts w:ascii="Times New Roman" w:eastAsia="Calibri" w:hAnsi="Times New Roman"/>
          <w:b/>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060918" w:rsidP="00060918">
      <w:pPr>
        <w:widowControl w:val="0"/>
        <w:tabs>
          <w:tab w:val="left" w:pos="567"/>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а) </w:t>
      </w:r>
      <w:r w:rsidR="002B7B14">
        <w:rPr>
          <w:rFonts w:ascii="Times New Roman" w:eastAsia="Calibri" w:hAnsi="Times New Roman"/>
          <w:sz w:val="28"/>
          <w:szCs w:val="28"/>
          <w:lang w:eastAsia="en-US"/>
        </w:rPr>
        <w:t>консультаций с подконтрольными субъектами по разъяснению обязательных требо</w:t>
      </w:r>
      <w:r w:rsidR="00C436BA">
        <w:rPr>
          <w:rFonts w:ascii="Times New Roman" w:eastAsia="Calibri" w:hAnsi="Times New Roman"/>
          <w:sz w:val="28"/>
          <w:szCs w:val="28"/>
          <w:lang w:eastAsia="en-US"/>
        </w:rPr>
        <w:t xml:space="preserve">ваний (в том числе, семинары, </w:t>
      </w:r>
      <w:proofErr w:type="spellStart"/>
      <w:r w:rsidR="00C436BA">
        <w:rPr>
          <w:rFonts w:ascii="Times New Roman" w:eastAsia="Calibri" w:hAnsi="Times New Roman"/>
          <w:sz w:val="28"/>
          <w:szCs w:val="28"/>
          <w:lang w:eastAsia="en-US"/>
        </w:rPr>
        <w:t>ве</w:t>
      </w:r>
      <w:r w:rsidR="002B7B14">
        <w:rPr>
          <w:rFonts w:ascii="Times New Roman" w:eastAsia="Calibri" w:hAnsi="Times New Roman"/>
          <w:sz w:val="28"/>
          <w:szCs w:val="28"/>
          <w:lang w:eastAsia="en-US"/>
        </w:rPr>
        <w:t>бинары</w:t>
      </w:r>
      <w:proofErr w:type="spellEnd"/>
      <w:r w:rsidR="002B7B14">
        <w:rPr>
          <w:rFonts w:ascii="Times New Roman" w:eastAsia="Calibri" w:hAnsi="Times New Roman"/>
          <w:sz w:val="28"/>
          <w:szCs w:val="28"/>
          <w:lang w:eastAsia="en-US"/>
        </w:rPr>
        <w:t>, конференции, заседания рабочих групп);</w:t>
      </w:r>
    </w:p>
    <w:p w:rsidR="002B7B14" w:rsidRDefault="00060918" w:rsidP="00667038">
      <w:pPr>
        <w:widowControl w:val="0"/>
        <w:tabs>
          <w:tab w:val="left" w:pos="1134"/>
        </w:tabs>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б) </w:t>
      </w:r>
      <w:r w:rsidR="002B7B14">
        <w:rPr>
          <w:rFonts w:ascii="Times New Roman" w:eastAsia="Calibri" w:hAnsi="Times New Roman"/>
          <w:sz w:val="28"/>
          <w:szCs w:val="28"/>
          <w:lang w:eastAsia="en-US"/>
        </w:rPr>
        <w:t>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66703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00060918">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разъяснительной работы в средствах массовой информации;</w:t>
      </w:r>
    </w:p>
    <w:p w:rsidR="002B7B14" w:rsidRDefault="002B7B14" w:rsidP="0066703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060918" w:rsidP="0066703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 </w:t>
      </w:r>
      <w:r w:rsidR="002B7B14">
        <w:rPr>
          <w:rFonts w:ascii="Times New Roman" w:eastAsia="Calibri" w:hAnsi="Times New Roman"/>
          <w:sz w:val="28"/>
          <w:szCs w:val="28"/>
          <w:lang w:eastAsia="en-US"/>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667038">
      <w:pPr>
        <w:tabs>
          <w:tab w:val="left" w:pos="0"/>
        </w:tabs>
        <w:suppressAutoHyphens/>
        <w:autoSpaceDE w:val="0"/>
        <w:spacing w:after="100" w:afterAutospacing="1"/>
        <w:ind w:firstLine="567"/>
        <w:jc w:val="both"/>
        <w:rPr>
          <w:rFonts w:ascii="Times New Roman" w:eastAsia="Calibri" w:hAnsi="Times New Roman"/>
          <w:color w:val="0000FF"/>
          <w:sz w:val="28"/>
          <w:szCs w:val="28"/>
          <w:lang w:eastAsia="en-US"/>
        </w:rPr>
      </w:pPr>
      <w:r>
        <w:rPr>
          <w:rFonts w:ascii="Times New Roman" w:eastAsia="Calibri" w:hAnsi="Times New Roman"/>
          <w:sz w:val="28"/>
          <w:szCs w:val="28"/>
          <w:lang w:eastAsia="en-US"/>
        </w:rPr>
        <w:t>Программа профилактики нарушений обязательных требований законодательства в сфере муниципального контроля утверждается ежегодно</w:t>
      </w:r>
      <w:r w:rsidR="0006091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2B7B14" w:rsidRDefault="002B7B14" w:rsidP="00667038">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Направление предостережений о недопустимости нарушения обязательных требований</w:t>
      </w:r>
    </w:p>
    <w:p w:rsidR="002B7B14" w:rsidRDefault="002B7B14" w:rsidP="00060918">
      <w:pPr>
        <w:widowControl w:val="0"/>
        <w:spacing w:after="12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размещены в средствах массовой информации.</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Default="002B7B14" w:rsidP="00060918">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060918">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060918">
      <w:pPr>
        <w:widowControl w:val="0"/>
        <w:spacing w:after="100" w:afterAutospacing="1"/>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Default="002B7B14" w:rsidP="00060918">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Default="002B7B14" w:rsidP="00616417">
      <w:pPr>
        <w:widowControl w:val="0"/>
        <w:spacing w:after="12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д) другие виды и формы мероприятий по контролю, установленные федеральными законами.</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616417" w:rsidRDefault="002B7B14" w:rsidP="00616417">
      <w:pPr>
        <w:widowControl w:val="0"/>
        <w:spacing w:after="100" w:afterAutospacing="1"/>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616417" w:rsidRDefault="002B7B14" w:rsidP="00616417">
      <w:pPr>
        <w:widowControl w:val="0"/>
        <w:spacing w:after="100" w:afterAutospacing="1"/>
        <w:ind w:firstLine="851"/>
        <w:jc w:val="both"/>
        <w:rPr>
          <w:rFonts w:ascii="Times New Roman" w:eastAsia="Calibri" w:hAnsi="Times New Roman"/>
          <w:sz w:val="28"/>
          <w:szCs w:val="28"/>
          <w:lang w:eastAsia="en-US"/>
        </w:rPr>
      </w:pPr>
      <w:r>
        <w:rPr>
          <w:rFonts w:ascii="Times New Roman" w:eastAsia="Calibri" w:hAnsi="Times New Roman"/>
          <w:b/>
          <w:sz w:val="28"/>
          <w:szCs w:val="28"/>
          <w:lang w:eastAsia="en-US"/>
        </w:rPr>
        <w:t>Процедура предварительной проверки поступивших обращений</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Default="002B7B14" w:rsidP="00616417">
      <w:pPr>
        <w:widowControl w:val="0"/>
        <w:spacing w:after="100" w:afterAutospacing="1"/>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2B7B14" w:rsidRDefault="002B7B14" w:rsidP="00616417">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запроса документов у юридических лиц, индивидуальных предпринимателей</w:t>
      </w:r>
    </w:p>
    <w:p w:rsidR="002B7B14" w:rsidRDefault="002B7B14" w:rsidP="00616417">
      <w:pPr>
        <w:widowControl w:val="0"/>
        <w:autoSpaceDE w:val="0"/>
        <w:autoSpaceDN w:val="0"/>
        <w:adjustRightInd w:val="0"/>
        <w:spacing w:after="120"/>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616417" w:rsidRDefault="002B7B14" w:rsidP="00616417">
      <w:pPr>
        <w:widowControl w:val="0"/>
        <w:spacing w:after="100" w:afterAutospacing="1"/>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616417" w:rsidRDefault="002B7B14" w:rsidP="00616417">
      <w:pPr>
        <w:widowControl w:val="0"/>
        <w:spacing w:after="100" w:afterAutospacing="1"/>
        <w:ind w:firstLine="709"/>
        <w:jc w:val="both"/>
        <w:rPr>
          <w:rFonts w:ascii="Times New Roman" w:eastAsia="Calibri" w:hAnsi="Times New Roman"/>
          <w:sz w:val="28"/>
          <w:szCs w:val="28"/>
          <w:lang w:eastAsia="en-US"/>
        </w:rPr>
      </w:pPr>
      <w:r>
        <w:rPr>
          <w:rFonts w:ascii="Times New Roman" w:eastAsia="Calibri" w:hAnsi="Times New Roman"/>
          <w:b/>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616417">
      <w:pPr>
        <w:widowControl w:val="0"/>
        <w:spacing w:after="100" w:afterAutospacing="1"/>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Pr="00921686" w:rsidRDefault="002B7B14" w:rsidP="00616417">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7B14" w:rsidRDefault="002B7B14" w:rsidP="00616417">
      <w:pPr>
        <w:widowControl w:val="0"/>
        <w:spacing w:after="100" w:afterAutospacing="1"/>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616417">
      <w:pPr>
        <w:widowControl w:val="0"/>
        <w:spacing w:after="100" w:afterAutospacing="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616417">
      <w:pPr>
        <w:widowControl w:val="0"/>
        <w:spacing w:after="12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616417">
      <w:pPr>
        <w:widowControl w:val="0"/>
        <w:spacing w:after="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616417">
      <w:pPr>
        <w:widowControl w:val="0"/>
        <w:spacing w:after="100" w:afterAutospacing="1"/>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Pr="00921686" w:rsidRDefault="002B7B14" w:rsidP="00667038">
      <w:pPr>
        <w:spacing w:after="120"/>
        <w:jc w:val="center"/>
        <w:rPr>
          <w:rFonts w:ascii="Times New Roman" w:hAnsi="Times New Roman" w:cs="Times New Roman"/>
          <w:b/>
          <w:bCs/>
          <w:sz w:val="28"/>
          <w:szCs w:val="28"/>
        </w:rPr>
      </w:pPr>
      <w:r>
        <w:rPr>
          <w:rFonts w:ascii="Times New Roman" w:hAnsi="Times New Roman"/>
          <w:b/>
          <w:bCs/>
          <w:sz w:val="28"/>
          <w:szCs w:val="28"/>
        </w:rPr>
        <w:t>Административная ответственность</w:t>
      </w:r>
    </w:p>
    <w:p w:rsidR="002B7B14" w:rsidRDefault="002B7B14" w:rsidP="00667038">
      <w:pPr>
        <w:spacing w:after="120"/>
        <w:ind w:firstLine="709"/>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667038">
      <w:pPr>
        <w:spacing w:after="120"/>
        <w:ind w:firstLine="709"/>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667038">
      <w:pPr>
        <w:spacing w:after="120"/>
        <w:ind w:firstLine="709"/>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667038">
      <w:pPr>
        <w:spacing w:after="120"/>
        <w:ind w:firstLine="709"/>
        <w:jc w:val="both"/>
        <w:rPr>
          <w:rFonts w:ascii="Times New Roman" w:hAnsi="Times New Roman"/>
          <w:bCs/>
          <w:sz w:val="28"/>
          <w:szCs w:val="28"/>
        </w:rPr>
      </w:pPr>
      <w:r>
        <w:rPr>
          <w:rFonts w:ascii="Times New Roman" w:hAnsi="Times New Roman"/>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sectPr w:rsidR="002B7B14" w:rsidSect="00E01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14"/>
    <w:rsid w:val="00060918"/>
    <w:rsid w:val="00076C5D"/>
    <w:rsid w:val="00240F2E"/>
    <w:rsid w:val="002B7B14"/>
    <w:rsid w:val="00616417"/>
    <w:rsid w:val="00667038"/>
    <w:rsid w:val="00921686"/>
    <w:rsid w:val="00C436BA"/>
    <w:rsid w:val="00D46C22"/>
    <w:rsid w:val="00E01C66"/>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3E717-0DCC-460E-98C8-7C02CCD6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Законе № 294-ФЗ установлен запрет на истребование от юридического лица, индиви</vt:lpstr>
    </vt:vector>
  </TitlesOfParts>
  <Company>Grizli777</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Restart</cp:lastModifiedBy>
  <cp:revision>2</cp:revision>
  <dcterms:created xsi:type="dcterms:W3CDTF">2022-12-16T09:52:00Z</dcterms:created>
  <dcterms:modified xsi:type="dcterms:W3CDTF">2022-12-16T09:52:00Z</dcterms:modified>
</cp:coreProperties>
</file>