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0B42" w14:textId="77777777" w:rsidR="00F12C76" w:rsidRPr="009C7957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9C7957" w14:paraId="592766D2" w14:textId="77777777" w:rsidTr="00DA1FCA">
        <w:tc>
          <w:tcPr>
            <w:tcW w:w="4885" w:type="dxa"/>
          </w:tcPr>
          <w:p w14:paraId="3586B3D3" w14:textId="07C85ED7" w:rsidR="00DA1FCA" w:rsidRPr="00AA1F02" w:rsidRDefault="00AA1F02" w:rsidP="00275198">
            <w:pPr>
              <w:spacing w:line="360" w:lineRule="auto"/>
              <w:jc w:val="both"/>
              <w:rPr>
                <w:sz w:val="22"/>
              </w:rPr>
            </w:pPr>
            <w:r w:rsidRPr="00AA1F02">
              <w:rPr>
                <w:sz w:val="22"/>
              </w:rPr>
              <w:t>20</w:t>
            </w:r>
            <w:r w:rsidR="007D4EB4" w:rsidRPr="00AA1F02">
              <w:rPr>
                <w:sz w:val="22"/>
              </w:rPr>
              <w:t>.</w:t>
            </w:r>
            <w:r w:rsidR="00A62D66" w:rsidRPr="00AA1F02">
              <w:rPr>
                <w:sz w:val="22"/>
              </w:rPr>
              <w:t>0</w:t>
            </w:r>
            <w:r w:rsidR="00861CA4" w:rsidRPr="00AA1F02">
              <w:rPr>
                <w:sz w:val="22"/>
              </w:rPr>
              <w:t>4</w:t>
            </w:r>
            <w:r w:rsidR="007D4EB4" w:rsidRPr="00AA1F02">
              <w:rPr>
                <w:sz w:val="22"/>
              </w:rPr>
              <w:t>.202</w:t>
            </w:r>
            <w:r w:rsidR="00A62D66" w:rsidRPr="00AA1F02">
              <w:rPr>
                <w:sz w:val="22"/>
              </w:rPr>
              <w:t>3</w:t>
            </w:r>
            <w:r w:rsidR="007D4EB4" w:rsidRPr="00AA1F02">
              <w:rPr>
                <w:sz w:val="22"/>
              </w:rPr>
              <w:t>г.</w:t>
            </w:r>
            <w:r w:rsidR="00C67630" w:rsidRPr="00AA1F02">
              <w:rPr>
                <w:sz w:val="22"/>
              </w:rPr>
              <w:t xml:space="preserve"> №</w:t>
            </w:r>
            <w:r w:rsidR="00227A41" w:rsidRPr="00AA1F02">
              <w:rPr>
                <w:sz w:val="22"/>
              </w:rPr>
              <w:t xml:space="preserve"> </w:t>
            </w:r>
            <w:r w:rsidRPr="00AA1F02">
              <w:rPr>
                <w:sz w:val="22"/>
              </w:rPr>
              <w:t>30</w:t>
            </w:r>
            <w:r w:rsidR="00CE787E" w:rsidRPr="00AA1F02">
              <w:rPr>
                <w:sz w:val="22"/>
              </w:rPr>
              <w:t>/01-05</w:t>
            </w:r>
          </w:p>
          <w:p w14:paraId="0BAD7F1F" w14:textId="77777777" w:rsidR="00DA1FCA" w:rsidRPr="009C7957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19F27718" w14:textId="77777777" w:rsidR="002232A5" w:rsidRPr="009C7957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9C7957">
              <w:rPr>
                <w:sz w:val="22"/>
              </w:rPr>
              <w:t xml:space="preserve">Собрание депутатов </w:t>
            </w:r>
            <w:proofErr w:type="spellStart"/>
            <w:r w:rsidR="00423143" w:rsidRPr="009C7957">
              <w:rPr>
                <w:sz w:val="22"/>
              </w:rPr>
              <w:t>Алейского</w:t>
            </w:r>
            <w:proofErr w:type="spellEnd"/>
            <w:r w:rsidRPr="009C7957">
              <w:rPr>
                <w:sz w:val="22"/>
              </w:rPr>
              <w:t xml:space="preserve"> сельсовета </w:t>
            </w:r>
            <w:proofErr w:type="spellStart"/>
            <w:r w:rsidRPr="009C7957">
              <w:rPr>
                <w:sz w:val="22"/>
              </w:rPr>
              <w:t>Алейского</w:t>
            </w:r>
            <w:proofErr w:type="spellEnd"/>
            <w:r w:rsidRPr="009C7957">
              <w:rPr>
                <w:sz w:val="22"/>
              </w:rPr>
              <w:t xml:space="preserve"> района Алтайского края</w:t>
            </w:r>
          </w:p>
          <w:p w14:paraId="05CF9B5B" w14:textId="77777777" w:rsidR="002232A5" w:rsidRPr="009C7957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0887980D" w14:textId="77777777" w:rsidR="007F1151" w:rsidRPr="009C7957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9C7957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="00423143" w:rsidRPr="009C7957">
              <w:rPr>
                <w:sz w:val="22"/>
              </w:rPr>
              <w:t>Алейского</w:t>
            </w:r>
            <w:proofErr w:type="spellEnd"/>
            <w:r w:rsidR="002232A5" w:rsidRPr="009C7957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9C7957">
              <w:rPr>
                <w:rFonts w:eastAsia="Times New Roman" w:cs="Times New Roman"/>
                <w:sz w:val="22"/>
                <w:lang w:eastAsia="ru-RU"/>
              </w:rPr>
              <w:t>Алейского</w:t>
            </w:r>
            <w:proofErr w:type="spellEnd"/>
            <w:r w:rsidRPr="009C7957">
              <w:rPr>
                <w:rFonts w:eastAsia="Times New Roman" w:cs="Times New Roman"/>
                <w:sz w:val="22"/>
                <w:lang w:eastAsia="ru-RU"/>
              </w:rPr>
              <w:t xml:space="preserve"> района Алтайского края</w:t>
            </w:r>
            <w:r w:rsidRPr="009C7957">
              <w:rPr>
                <w:rFonts w:cs="Times New Roman"/>
                <w:sz w:val="22"/>
              </w:rPr>
              <w:t xml:space="preserve"> </w:t>
            </w:r>
          </w:p>
          <w:p w14:paraId="54E0E1B8" w14:textId="77777777" w:rsidR="002232A5" w:rsidRPr="009C7957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240361F" w14:textId="77777777" w:rsidR="007F1151" w:rsidRPr="009C7957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9C7957">
              <w:rPr>
                <w:rFonts w:cs="Times New Roman"/>
                <w:sz w:val="22"/>
              </w:rPr>
              <w:t xml:space="preserve">Главе </w:t>
            </w:r>
            <w:r w:rsidR="002232A5" w:rsidRPr="009C7957">
              <w:rPr>
                <w:rFonts w:cs="Times New Roman"/>
                <w:sz w:val="22"/>
              </w:rPr>
              <w:t>сельсовета</w:t>
            </w:r>
          </w:p>
          <w:p w14:paraId="04691AC8" w14:textId="77777777" w:rsidR="007F1151" w:rsidRPr="009C7957" w:rsidRDefault="00423143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9C7957">
              <w:rPr>
                <w:rFonts w:cs="Times New Roman"/>
                <w:sz w:val="22"/>
              </w:rPr>
              <w:t>Середе А.А.</w:t>
            </w:r>
          </w:p>
          <w:p w14:paraId="4F352420" w14:textId="77777777" w:rsidR="007C132B" w:rsidRPr="009C7957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44B7C5AD" w14:textId="77777777" w:rsidR="00DA1FCA" w:rsidRPr="009C7957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7A0727C" w14:textId="77777777" w:rsidR="006B422A" w:rsidRPr="009C7957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9C7957">
        <w:rPr>
          <w:b/>
          <w:bCs/>
          <w:sz w:val="22"/>
        </w:rPr>
        <w:t xml:space="preserve">Заключение </w:t>
      </w:r>
    </w:p>
    <w:p w14:paraId="4154E3FA" w14:textId="77777777" w:rsidR="006B422A" w:rsidRPr="009C7957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9C7957">
        <w:rPr>
          <w:b/>
          <w:bCs/>
          <w:sz w:val="22"/>
        </w:rPr>
        <w:t xml:space="preserve">Контрольно-счетной палаты </w:t>
      </w:r>
      <w:proofErr w:type="spellStart"/>
      <w:r w:rsidRPr="009C7957">
        <w:rPr>
          <w:b/>
          <w:bCs/>
          <w:sz w:val="22"/>
        </w:rPr>
        <w:t>Алейского</w:t>
      </w:r>
      <w:proofErr w:type="spellEnd"/>
      <w:r w:rsidRPr="009C7957">
        <w:rPr>
          <w:b/>
          <w:bCs/>
          <w:sz w:val="22"/>
        </w:rPr>
        <w:t xml:space="preserve"> района Алтайского края </w:t>
      </w:r>
      <w:r w:rsidR="004B7A75" w:rsidRPr="009C7957">
        <w:rPr>
          <w:b/>
          <w:bCs/>
          <w:sz w:val="22"/>
        </w:rPr>
        <w:t>на</w:t>
      </w:r>
      <w:r w:rsidRPr="009C7957">
        <w:rPr>
          <w:b/>
          <w:bCs/>
          <w:sz w:val="22"/>
        </w:rPr>
        <w:t xml:space="preserve"> </w:t>
      </w:r>
      <w:r w:rsidR="00E74777" w:rsidRPr="009C7957">
        <w:rPr>
          <w:rFonts w:cs="Times New Roman"/>
          <w:b/>
          <w:bCs/>
          <w:sz w:val="22"/>
        </w:rPr>
        <w:t>годовой отчет о</w:t>
      </w:r>
      <w:r w:rsidR="00E74777" w:rsidRPr="009C7957">
        <w:rPr>
          <w:b/>
          <w:bCs/>
          <w:sz w:val="22"/>
        </w:rPr>
        <w:t xml:space="preserve">б исполнении бюджета </w:t>
      </w:r>
      <w:proofErr w:type="spellStart"/>
      <w:r w:rsidR="00423143" w:rsidRPr="009C7957">
        <w:rPr>
          <w:rFonts w:cs="Times New Roman"/>
          <w:b/>
          <w:bCs/>
          <w:sz w:val="22"/>
        </w:rPr>
        <w:t>Алейского</w:t>
      </w:r>
      <w:proofErr w:type="spellEnd"/>
      <w:r w:rsidR="004D62B6" w:rsidRPr="009C7957">
        <w:rPr>
          <w:rFonts w:cs="Times New Roman"/>
          <w:b/>
          <w:bCs/>
          <w:sz w:val="22"/>
        </w:rPr>
        <w:t xml:space="preserve"> сельсовета</w:t>
      </w:r>
      <w:r w:rsidR="004D62B6" w:rsidRPr="009C7957">
        <w:rPr>
          <w:rFonts w:cs="Times New Roman"/>
          <w:sz w:val="22"/>
        </w:rPr>
        <w:t xml:space="preserve"> </w:t>
      </w:r>
      <w:r w:rsidR="00E74777" w:rsidRPr="009C7957">
        <w:rPr>
          <w:b/>
          <w:bCs/>
          <w:sz w:val="22"/>
        </w:rPr>
        <w:t>за 2022 год</w:t>
      </w:r>
    </w:p>
    <w:p w14:paraId="70BABAFE" w14:textId="77777777" w:rsidR="006B422A" w:rsidRPr="009C7957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46A4A5EC" w14:textId="77777777" w:rsidR="006B422A" w:rsidRPr="009C7957" w:rsidRDefault="006B422A" w:rsidP="0027519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Заключение к </w:t>
      </w:r>
      <w:r w:rsidR="004D62B6" w:rsidRPr="009C7957">
        <w:rPr>
          <w:rFonts w:cs="Times New Roman"/>
          <w:sz w:val="22"/>
        </w:rPr>
        <w:t xml:space="preserve">годовому </w:t>
      </w:r>
      <w:r w:rsidRPr="009C7957">
        <w:rPr>
          <w:rFonts w:cs="Times New Roman"/>
          <w:sz w:val="22"/>
        </w:rPr>
        <w:t xml:space="preserve">отчету об исполнении бюджета </w:t>
      </w:r>
      <w:proofErr w:type="spellStart"/>
      <w:r w:rsidR="00423143" w:rsidRPr="009C7957">
        <w:rPr>
          <w:sz w:val="22"/>
        </w:rPr>
        <w:t>Алейского</w:t>
      </w:r>
      <w:proofErr w:type="spellEnd"/>
      <w:r w:rsidR="004D62B6" w:rsidRPr="009C7957">
        <w:rPr>
          <w:rFonts w:cs="Times New Roman"/>
          <w:sz w:val="22"/>
        </w:rPr>
        <w:t xml:space="preserve"> сельсовета </w:t>
      </w:r>
      <w:r w:rsidRPr="009C7957">
        <w:rPr>
          <w:rFonts w:cs="Times New Roman"/>
          <w:sz w:val="22"/>
        </w:rPr>
        <w:t>за  2022 год подготовлено в соответствии</w:t>
      </w:r>
      <w:r w:rsidRPr="009C7957">
        <w:rPr>
          <w:sz w:val="22"/>
        </w:rPr>
        <w:t xml:space="preserve">  </w:t>
      </w:r>
      <w:r w:rsidR="008E45BA" w:rsidRPr="009C7957">
        <w:rPr>
          <w:rFonts w:cs="Times New Roman"/>
          <w:sz w:val="22"/>
        </w:rPr>
        <w:t>с</w:t>
      </w:r>
      <w:r w:rsidR="00F726E9" w:rsidRPr="009C7957">
        <w:rPr>
          <w:rFonts w:cs="Times New Roman"/>
          <w:sz w:val="22"/>
        </w:rPr>
        <w:t xml:space="preserve">о ст. 268.1 </w:t>
      </w:r>
      <w:r w:rsidRPr="009C7957">
        <w:rPr>
          <w:rFonts w:cs="Times New Roman"/>
          <w:sz w:val="22"/>
        </w:rPr>
        <w:t>Бюджетн</w:t>
      </w:r>
      <w:r w:rsidR="00F726E9" w:rsidRPr="009C7957">
        <w:rPr>
          <w:rFonts w:cs="Times New Roman"/>
          <w:sz w:val="22"/>
        </w:rPr>
        <w:t>ого</w:t>
      </w:r>
      <w:r w:rsidRPr="009C7957">
        <w:rPr>
          <w:rFonts w:cs="Times New Roman"/>
          <w:sz w:val="22"/>
        </w:rPr>
        <w:t xml:space="preserve"> Кодекс</w:t>
      </w:r>
      <w:r w:rsidR="00F726E9" w:rsidRPr="009C7957">
        <w:rPr>
          <w:rFonts w:cs="Times New Roman"/>
          <w:sz w:val="22"/>
        </w:rPr>
        <w:t>а</w:t>
      </w:r>
      <w:r w:rsidRPr="009C7957">
        <w:rPr>
          <w:rFonts w:cs="Times New Roman"/>
          <w:sz w:val="22"/>
        </w:rPr>
        <w:t xml:space="preserve">  РФ,</w:t>
      </w:r>
      <w:r w:rsidRPr="009C7957">
        <w:rPr>
          <w:b/>
          <w:sz w:val="22"/>
        </w:rPr>
        <w:t xml:space="preserve"> </w:t>
      </w:r>
      <w:bookmarkStart w:id="0" w:name="_Hlk129004243"/>
      <w:r w:rsidR="002576AB" w:rsidRPr="009C7957">
        <w:rPr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9C7957">
        <w:rPr>
          <w:sz w:val="22"/>
        </w:rPr>
        <w:t xml:space="preserve">, </w:t>
      </w:r>
      <w:r w:rsidR="00F90384" w:rsidRPr="009C7957">
        <w:rPr>
          <w:sz w:val="22"/>
        </w:rPr>
        <w:t xml:space="preserve">Положением о бюджетном процессе в муниципальном образовании </w:t>
      </w:r>
      <w:proofErr w:type="spellStart"/>
      <w:r w:rsidR="00F90384" w:rsidRPr="009C7957">
        <w:rPr>
          <w:sz w:val="22"/>
        </w:rPr>
        <w:t>Алейский</w:t>
      </w:r>
      <w:proofErr w:type="spellEnd"/>
      <w:r w:rsidR="00F90384" w:rsidRPr="009C7957">
        <w:rPr>
          <w:sz w:val="22"/>
        </w:rPr>
        <w:t xml:space="preserve"> сельсовет </w:t>
      </w:r>
      <w:proofErr w:type="spellStart"/>
      <w:r w:rsidR="00F90384" w:rsidRPr="009C7957">
        <w:rPr>
          <w:sz w:val="22"/>
        </w:rPr>
        <w:t>Алейского</w:t>
      </w:r>
      <w:proofErr w:type="spellEnd"/>
      <w:r w:rsidR="00F90384" w:rsidRPr="009C7957">
        <w:rPr>
          <w:sz w:val="22"/>
        </w:rPr>
        <w:t xml:space="preserve"> района  Алтайского края</w:t>
      </w:r>
      <w:r w:rsidR="004603F2" w:rsidRPr="009C7957">
        <w:rPr>
          <w:rFonts w:eastAsia="Times New Roman" w:cs="Times New Roman"/>
          <w:sz w:val="22"/>
          <w:lang w:eastAsia="ru-RU"/>
        </w:rPr>
        <w:t xml:space="preserve">, утвержденным Решением Собрания депутатов </w:t>
      </w:r>
      <w:proofErr w:type="spellStart"/>
      <w:r w:rsidR="00F90384"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C43427" w:rsidRPr="009C7957">
        <w:rPr>
          <w:rFonts w:eastAsia="Times New Roman" w:cs="Times New Roman"/>
          <w:sz w:val="22"/>
          <w:lang w:eastAsia="ru-RU"/>
        </w:rPr>
        <w:t xml:space="preserve"> </w:t>
      </w:r>
      <w:r w:rsidR="004603F2" w:rsidRPr="009C7957">
        <w:rPr>
          <w:rFonts w:eastAsia="Times New Roman" w:cs="Times New Roman"/>
          <w:sz w:val="22"/>
          <w:lang w:eastAsia="ru-RU"/>
        </w:rPr>
        <w:t xml:space="preserve">сельсовета </w:t>
      </w:r>
      <w:proofErr w:type="spellStart"/>
      <w:r w:rsidR="004603F2"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4603F2" w:rsidRPr="009C7957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F90384" w:rsidRPr="009C7957">
        <w:rPr>
          <w:rFonts w:eastAsia="Times New Roman" w:cs="Times New Roman"/>
          <w:sz w:val="22"/>
        </w:rPr>
        <w:t>27</w:t>
      </w:r>
      <w:r w:rsidR="004603F2" w:rsidRPr="009C7957">
        <w:rPr>
          <w:rFonts w:eastAsia="Times New Roman" w:cs="Times New Roman"/>
          <w:sz w:val="22"/>
        </w:rPr>
        <w:t>.</w:t>
      </w:r>
      <w:r w:rsidR="001E7172" w:rsidRPr="009C7957">
        <w:rPr>
          <w:rFonts w:eastAsia="Times New Roman" w:cs="Times New Roman"/>
          <w:sz w:val="22"/>
        </w:rPr>
        <w:t>03</w:t>
      </w:r>
      <w:r w:rsidR="004603F2" w:rsidRPr="009C7957">
        <w:rPr>
          <w:rFonts w:eastAsia="Times New Roman" w:cs="Times New Roman"/>
          <w:sz w:val="22"/>
        </w:rPr>
        <w:t>.20</w:t>
      </w:r>
      <w:r w:rsidR="00F90384" w:rsidRPr="009C7957">
        <w:rPr>
          <w:rFonts w:eastAsia="Times New Roman" w:cs="Times New Roman"/>
          <w:sz w:val="22"/>
        </w:rPr>
        <w:t>14</w:t>
      </w:r>
      <w:r w:rsidR="004603F2" w:rsidRPr="009C7957">
        <w:rPr>
          <w:rFonts w:eastAsia="Times New Roman" w:cs="Times New Roman"/>
          <w:sz w:val="22"/>
        </w:rPr>
        <w:t>г. №</w:t>
      </w:r>
      <w:r w:rsidR="00F90384" w:rsidRPr="009C7957">
        <w:rPr>
          <w:rFonts w:eastAsia="Times New Roman" w:cs="Times New Roman"/>
          <w:sz w:val="22"/>
        </w:rPr>
        <w:t>4</w:t>
      </w:r>
      <w:r w:rsidR="003D110C" w:rsidRPr="009C7957">
        <w:rPr>
          <w:rFonts w:eastAsia="Times New Roman" w:cs="Times New Roman"/>
          <w:sz w:val="22"/>
        </w:rPr>
        <w:t>,</w:t>
      </w:r>
      <w:r w:rsidRPr="009C7957">
        <w:rPr>
          <w:rFonts w:cs="Times New Roman"/>
          <w:sz w:val="22"/>
        </w:rPr>
        <w:t xml:space="preserve"> </w:t>
      </w:r>
      <w:r w:rsidR="000822C3" w:rsidRPr="009C7957">
        <w:rPr>
          <w:sz w:val="22"/>
        </w:rPr>
        <w:t xml:space="preserve">Соглашением о передаче контрольно-счетной палате </w:t>
      </w:r>
      <w:proofErr w:type="spellStart"/>
      <w:r w:rsidR="000822C3" w:rsidRPr="009C7957">
        <w:rPr>
          <w:sz w:val="22"/>
        </w:rPr>
        <w:t>Алейского</w:t>
      </w:r>
      <w:proofErr w:type="spellEnd"/>
      <w:r w:rsidR="000822C3" w:rsidRPr="009C7957">
        <w:rPr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="00423143" w:rsidRPr="009C7957">
        <w:rPr>
          <w:sz w:val="22"/>
        </w:rPr>
        <w:t>Алейский</w:t>
      </w:r>
      <w:proofErr w:type="spellEnd"/>
      <w:r w:rsidR="000822C3" w:rsidRPr="009C7957">
        <w:rPr>
          <w:sz w:val="22"/>
        </w:rPr>
        <w:t xml:space="preserve"> сельсовет </w:t>
      </w:r>
      <w:proofErr w:type="spellStart"/>
      <w:r w:rsidR="000822C3" w:rsidRPr="009C7957">
        <w:rPr>
          <w:sz w:val="22"/>
        </w:rPr>
        <w:t>Алейского</w:t>
      </w:r>
      <w:proofErr w:type="spellEnd"/>
      <w:r w:rsidR="000822C3" w:rsidRPr="009C7957">
        <w:rPr>
          <w:sz w:val="22"/>
        </w:rPr>
        <w:t xml:space="preserve"> района по осуществлению внешнего муниципального финансового контроля,</w:t>
      </w:r>
      <w:r w:rsidR="000822C3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ст</w:t>
      </w:r>
      <w:r w:rsidR="004D62B6" w:rsidRPr="009C7957">
        <w:rPr>
          <w:rFonts w:cs="Times New Roman"/>
          <w:sz w:val="22"/>
        </w:rPr>
        <w:t>.7, ст.</w:t>
      </w:r>
      <w:r w:rsidRPr="009C7957">
        <w:rPr>
          <w:rFonts w:cs="Times New Roman"/>
          <w:sz w:val="22"/>
        </w:rPr>
        <w:t xml:space="preserve">9 Положения о </w:t>
      </w:r>
      <w:r w:rsidR="00FF7D7E" w:rsidRPr="009C7957">
        <w:rPr>
          <w:rFonts w:cs="Times New Roman"/>
          <w:sz w:val="22"/>
        </w:rPr>
        <w:t>к</w:t>
      </w:r>
      <w:r w:rsidRPr="009C7957">
        <w:rPr>
          <w:rFonts w:cs="Times New Roman"/>
          <w:sz w:val="22"/>
        </w:rPr>
        <w:t xml:space="preserve">онтрольно-счетной палате </w:t>
      </w:r>
      <w:proofErr w:type="spellStart"/>
      <w:r w:rsidR="00635C20" w:rsidRPr="009C7957">
        <w:rPr>
          <w:sz w:val="22"/>
        </w:rPr>
        <w:t>Алейского</w:t>
      </w:r>
      <w:proofErr w:type="spellEnd"/>
      <w:r w:rsidR="00635C20" w:rsidRPr="009C7957">
        <w:rPr>
          <w:sz w:val="22"/>
        </w:rPr>
        <w:t xml:space="preserve"> района Алтайского края</w:t>
      </w:r>
      <w:r w:rsidRPr="009C7957">
        <w:rPr>
          <w:rFonts w:cs="Times New Roman"/>
          <w:sz w:val="22"/>
        </w:rPr>
        <w:t>,</w:t>
      </w:r>
      <w:r w:rsidR="00D102C8" w:rsidRPr="009C7957">
        <w:rPr>
          <w:rFonts w:cs="Times New Roman"/>
          <w:sz w:val="22"/>
        </w:rPr>
        <w:t xml:space="preserve"> утвержденного решением </w:t>
      </w:r>
      <w:r w:rsidR="00D102C8" w:rsidRPr="009C7957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9C7957">
        <w:rPr>
          <w:rFonts w:eastAsia="Times New Roman" w:cs="Times New Roman"/>
          <w:sz w:val="22"/>
        </w:rPr>
        <w:t>Алейского</w:t>
      </w:r>
      <w:proofErr w:type="spellEnd"/>
      <w:r w:rsidR="00D102C8" w:rsidRPr="009C7957">
        <w:rPr>
          <w:rFonts w:eastAsia="Times New Roman" w:cs="Times New Roman"/>
          <w:sz w:val="22"/>
        </w:rPr>
        <w:t xml:space="preserve"> района от 11.03.2022 г. №</w:t>
      </w:r>
      <w:r w:rsidR="00FF7D7E" w:rsidRPr="009C7957">
        <w:rPr>
          <w:rFonts w:eastAsia="Times New Roman" w:cs="Times New Roman"/>
          <w:sz w:val="22"/>
        </w:rPr>
        <w:t>2-РСД</w:t>
      </w:r>
      <w:r w:rsidR="00D102C8" w:rsidRPr="009C7957">
        <w:rPr>
          <w:rFonts w:eastAsia="Times New Roman" w:cs="Times New Roman"/>
          <w:sz w:val="22"/>
        </w:rPr>
        <w:t>, а так же</w:t>
      </w:r>
      <w:r w:rsidRPr="009C7957">
        <w:rPr>
          <w:rFonts w:cs="Times New Roman"/>
          <w:sz w:val="22"/>
        </w:rPr>
        <w:t xml:space="preserve"> п.2.</w:t>
      </w:r>
      <w:r w:rsidR="004D62B6" w:rsidRPr="009C7957">
        <w:rPr>
          <w:rFonts w:cs="Times New Roman"/>
          <w:sz w:val="22"/>
        </w:rPr>
        <w:t>2</w:t>
      </w:r>
      <w:r w:rsidRPr="009C7957">
        <w:rPr>
          <w:rFonts w:cs="Times New Roman"/>
          <w:sz w:val="22"/>
        </w:rPr>
        <w:t xml:space="preserve">. плана работы </w:t>
      </w:r>
      <w:r w:rsidR="004D62B6" w:rsidRPr="009C7957">
        <w:rPr>
          <w:rFonts w:cs="Times New Roman"/>
          <w:sz w:val="22"/>
        </w:rPr>
        <w:t>К</w:t>
      </w:r>
      <w:r w:rsidRPr="009C7957">
        <w:rPr>
          <w:rFonts w:cs="Times New Roman"/>
          <w:sz w:val="22"/>
        </w:rPr>
        <w:t xml:space="preserve">онтрольно-счетной палаты </w:t>
      </w:r>
      <w:proofErr w:type="spellStart"/>
      <w:r w:rsidR="00635C20" w:rsidRPr="009C7957">
        <w:rPr>
          <w:sz w:val="22"/>
        </w:rPr>
        <w:t>Алейского</w:t>
      </w:r>
      <w:proofErr w:type="spellEnd"/>
      <w:r w:rsidR="00635C20" w:rsidRPr="009C7957">
        <w:rPr>
          <w:sz w:val="22"/>
        </w:rPr>
        <w:t xml:space="preserve"> района Алтайского края</w:t>
      </w:r>
      <w:r w:rsidR="00635C20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на 202</w:t>
      </w:r>
      <w:r w:rsidR="00335B41" w:rsidRPr="009C7957">
        <w:rPr>
          <w:rFonts w:cs="Times New Roman"/>
          <w:sz w:val="22"/>
        </w:rPr>
        <w:t>3</w:t>
      </w:r>
      <w:r w:rsidRPr="009C7957">
        <w:rPr>
          <w:rFonts w:cs="Times New Roman"/>
          <w:sz w:val="22"/>
        </w:rPr>
        <w:t xml:space="preserve"> год.</w:t>
      </w:r>
    </w:p>
    <w:p w14:paraId="357E2E1E" w14:textId="77777777" w:rsidR="00A62D66" w:rsidRPr="009C7957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sz w:val="22"/>
        </w:rPr>
      </w:pPr>
      <w:r w:rsidRPr="009C7957">
        <w:rPr>
          <w:sz w:val="22"/>
        </w:rPr>
        <w:tab/>
      </w:r>
      <w:r w:rsidR="004D62B6" w:rsidRPr="009C7957">
        <w:rPr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proofErr w:type="spellStart"/>
      <w:r w:rsidR="00423143" w:rsidRPr="009C7957">
        <w:rPr>
          <w:sz w:val="22"/>
        </w:rPr>
        <w:t>Алейск</w:t>
      </w:r>
      <w:r w:rsidR="00926EA5" w:rsidRPr="009C7957">
        <w:rPr>
          <w:sz w:val="22"/>
        </w:rPr>
        <w:t>ого</w:t>
      </w:r>
      <w:proofErr w:type="spellEnd"/>
      <w:r w:rsidR="004D62B6" w:rsidRPr="009C7957">
        <w:rPr>
          <w:sz w:val="22"/>
        </w:rPr>
        <w:t xml:space="preserve"> сельсовета за 202</w:t>
      </w:r>
      <w:r w:rsidR="00335B41" w:rsidRPr="009C7957">
        <w:rPr>
          <w:sz w:val="22"/>
        </w:rPr>
        <w:t>2</w:t>
      </w:r>
      <w:r w:rsidR="004D62B6" w:rsidRPr="009C7957">
        <w:rPr>
          <w:sz w:val="22"/>
        </w:rPr>
        <w:t xml:space="preserve"> год</w:t>
      </w:r>
      <w:r w:rsidR="00EE55CD" w:rsidRPr="009C7957">
        <w:rPr>
          <w:sz w:val="22"/>
        </w:rPr>
        <w:t xml:space="preserve">, </w:t>
      </w:r>
      <w:r w:rsidRPr="009C7957">
        <w:rPr>
          <w:sz w:val="22"/>
        </w:rPr>
        <w:t>контроль</w:t>
      </w:r>
      <w:r w:rsidRPr="009C7957">
        <w:rPr>
          <w:spacing w:val="1"/>
          <w:sz w:val="22"/>
        </w:rPr>
        <w:t xml:space="preserve"> </w:t>
      </w:r>
      <w:r w:rsidRPr="009C7957">
        <w:rPr>
          <w:sz w:val="22"/>
        </w:rPr>
        <w:t>достоверности годового отчета об исполнении бюджета и бюджетной отчетности</w:t>
      </w:r>
      <w:r w:rsidR="00861CA4" w:rsidRPr="009C7957">
        <w:rPr>
          <w:sz w:val="22"/>
        </w:rPr>
        <w:t>.</w:t>
      </w:r>
    </w:p>
    <w:p w14:paraId="44BC1781" w14:textId="77777777" w:rsidR="00D102C8" w:rsidRPr="009C7957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9C7957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9C7957">
        <w:rPr>
          <w:rFonts w:eastAsia="Times New Roman" w:cs="Times New Roman"/>
          <w:sz w:val="22"/>
          <w:lang w:eastAsia="ru-RU"/>
        </w:rPr>
        <w:t xml:space="preserve"> района рассмотрела представленн</w:t>
      </w:r>
      <w:r w:rsidR="002232A5" w:rsidRPr="009C7957">
        <w:rPr>
          <w:rFonts w:eastAsia="Times New Roman" w:cs="Times New Roman"/>
          <w:sz w:val="22"/>
          <w:lang w:eastAsia="ru-RU"/>
        </w:rPr>
        <w:t>ый</w:t>
      </w:r>
      <w:r w:rsidR="00335B41" w:rsidRPr="009C7957">
        <w:rPr>
          <w:rFonts w:eastAsia="Times New Roman" w:cs="Times New Roman"/>
          <w:sz w:val="22"/>
          <w:lang w:eastAsia="ru-RU"/>
        </w:rPr>
        <w:t xml:space="preserve"> </w:t>
      </w:r>
      <w:r w:rsidR="002232A5" w:rsidRPr="009C7957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9C7957">
        <w:rPr>
          <w:rFonts w:eastAsia="Times New Roman" w:cs="Times New Roman"/>
          <w:sz w:val="22"/>
          <w:lang w:eastAsia="ru-RU"/>
        </w:rPr>
        <w:t>решени</w:t>
      </w:r>
      <w:r w:rsidR="002232A5" w:rsidRPr="009C7957">
        <w:rPr>
          <w:rFonts w:eastAsia="Times New Roman" w:cs="Times New Roman"/>
          <w:sz w:val="22"/>
          <w:lang w:eastAsia="ru-RU"/>
        </w:rPr>
        <w:t>я</w:t>
      </w:r>
      <w:r w:rsidR="00335B41" w:rsidRPr="009C7957">
        <w:rPr>
          <w:rFonts w:eastAsia="Times New Roman" w:cs="Times New Roman"/>
          <w:sz w:val="22"/>
          <w:lang w:eastAsia="ru-RU"/>
        </w:rPr>
        <w:t xml:space="preserve"> Собрания депутатов </w:t>
      </w:r>
      <w:proofErr w:type="spellStart"/>
      <w:r w:rsidR="00423143" w:rsidRPr="009C7957">
        <w:rPr>
          <w:sz w:val="22"/>
        </w:rPr>
        <w:t>Алейск</w:t>
      </w:r>
      <w:r w:rsidR="00926EA5" w:rsidRPr="009C7957">
        <w:rPr>
          <w:sz w:val="22"/>
        </w:rPr>
        <w:t>ого</w:t>
      </w:r>
      <w:proofErr w:type="spellEnd"/>
      <w:r w:rsidR="00335B41" w:rsidRPr="009C795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335B41"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335B41" w:rsidRPr="009C7957">
        <w:rPr>
          <w:rFonts w:eastAsia="Times New Roman" w:cs="Times New Roman"/>
          <w:sz w:val="22"/>
          <w:lang w:eastAsia="ru-RU"/>
        </w:rPr>
        <w:t xml:space="preserve"> района Алтайского края б/н</w:t>
      </w:r>
      <w:r w:rsidR="00EE55CD" w:rsidRPr="009C7957">
        <w:rPr>
          <w:rFonts w:eastAsia="Times New Roman" w:cs="Times New Roman"/>
          <w:sz w:val="22"/>
          <w:lang w:eastAsia="ru-RU"/>
        </w:rPr>
        <w:t xml:space="preserve"> «</w:t>
      </w:r>
      <w:r w:rsidR="00EE55CD" w:rsidRPr="009C7957">
        <w:rPr>
          <w:sz w:val="22"/>
        </w:rPr>
        <w:t>Об исполнении бюджета поселения за 2022 год»,</w:t>
      </w:r>
      <w:r w:rsidRPr="009C7957">
        <w:rPr>
          <w:rFonts w:eastAsia="Times New Roman" w:cs="Times New Roman"/>
          <w:sz w:val="22"/>
          <w:lang w:eastAsia="ru-RU"/>
        </w:rPr>
        <w:t xml:space="preserve"> </w:t>
      </w:r>
      <w:r w:rsidR="00335B41" w:rsidRPr="009C7957">
        <w:rPr>
          <w:rFonts w:eastAsia="Times New Roman" w:cs="Times New Roman"/>
          <w:sz w:val="22"/>
          <w:lang w:eastAsia="ru-RU"/>
        </w:rPr>
        <w:t>(далее – «</w:t>
      </w:r>
      <w:r w:rsidR="00A62D66" w:rsidRPr="009C7957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9C7957">
        <w:rPr>
          <w:rFonts w:cs="Times New Roman"/>
          <w:sz w:val="22"/>
        </w:rPr>
        <w:t>»)</w:t>
      </w:r>
      <w:r w:rsidR="004D62B6" w:rsidRPr="009C7957">
        <w:rPr>
          <w:rFonts w:cs="Times New Roman"/>
          <w:sz w:val="22"/>
        </w:rPr>
        <w:t xml:space="preserve">.  В дополнение к отчету, в КСП </w:t>
      </w:r>
      <w:proofErr w:type="spellStart"/>
      <w:r w:rsidR="004D62B6" w:rsidRPr="009C7957">
        <w:rPr>
          <w:rFonts w:cs="Times New Roman"/>
          <w:sz w:val="22"/>
        </w:rPr>
        <w:t>Алейского</w:t>
      </w:r>
      <w:proofErr w:type="spellEnd"/>
      <w:r w:rsidR="004D62B6" w:rsidRPr="009C7957">
        <w:rPr>
          <w:rFonts w:cs="Times New Roman"/>
          <w:sz w:val="22"/>
        </w:rPr>
        <w:t xml:space="preserve"> района также направлена бюджетная отчетность сельского поселения. В соответствии с п.3 ст. 264.1 Бюджетного Кодекса Российской Федерации бюджетная отчетность включает в себя: </w:t>
      </w:r>
    </w:p>
    <w:p w14:paraId="7EDE8B33" w14:textId="77777777" w:rsidR="001415A3" w:rsidRPr="009C7957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- отчет об исполнении бюджета</w:t>
      </w:r>
      <w:r w:rsidR="00E246D8" w:rsidRPr="009C7957">
        <w:rPr>
          <w:rFonts w:cs="Times New Roman"/>
          <w:sz w:val="22"/>
        </w:rPr>
        <w:t>;</w:t>
      </w:r>
    </w:p>
    <w:p w14:paraId="3096BDDE" w14:textId="77777777" w:rsidR="007A39EA" w:rsidRDefault="007A39EA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1D04D52B" w14:textId="39DB63F7" w:rsidR="00E246D8" w:rsidRPr="009C795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- баланс исполнения бюджета;</w:t>
      </w:r>
    </w:p>
    <w:p w14:paraId="5D728FE9" w14:textId="75B72914" w:rsidR="00E246D8" w:rsidRPr="009C795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-</w:t>
      </w:r>
      <w:r w:rsidR="002576AB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отчет о финансовых результатах деятельности;</w:t>
      </w:r>
    </w:p>
    <w:p w14:paraId="0F07CDD1" w14:textId="77777777" w:rsidR="00E246D8" w:rsidRPr="009C795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-</w:t>
      </w:r>
      <w:r w:rsidR="002576AB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отчет о движении денежных средств;</w:t>
      </w:r>
    </w:p>
    <w:p w14:paraId="396F7B2E" w14:textId="77777777" w:rsidR="00E246D8" w:rsidRPr="009C7957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-</w:t>
      </w:r>
      <w:r w:rsidR="002576AB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пояснительная записка.</w:t>
      </w:r>
    </w:p>
    <w:p w14:paraId="04D56CA8" w14:textId="77777777" w:rsidR="003D110C" w:rsidRPr="009C7957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9C7957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proofErr w:type="spellStart"/>
      <w:r w:rsidR="00423143" w:rsidRPr="009C7957">
        <w:rPr>
          <w:sz w:val="22"/>
        </w:rPr>
        <w:t>Алейск</w:t>
      </w:r>
      <w:r w:rsidR="00926EA5" w:rsidRPr="009C7957">
        <w:rPr>
          <w:sz w:val="22"/>
        </w:rPr>
        <w:t>ого</w:t>
      </w:r>
      <w:proofErr w:type="spellEnd"/>
      <w:r w:rsidR="002576AB" w:rsidRPr="009C7957">
        <w:rPr>
          <w:rFonts w:cs="Times New Roman"/>
          <w:sz w:val="22"/>
        </w:rPr>
        <w:t xml:space="preserve"> сельсовета по состоянию на 01.01.2023 года.</w:t>
      </w:r>
      <w:r w:rsidR="006D65EF" w:rsidRPr="009C7957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9C7957">
        <w:rPr>
          <w:rFonts w:cs="Times New Roman"/>
          <w:sz w:val="22"/>
        </w:rPr>
        <w:t>, не противоречат друг другу</w:t>
      </w:r>
      <w:r w:rsidR="006D65EF" w:rsidRPr="009C7957">
        <w:rPr>
          <w:rFonts w:cs="Times New Roman"/>
          <w:sz w:val="22"/>
        </w:rPr>
        <w:t>.</w:t>
      </w:r>
    </w:p>
    <w:p w14:paraId="0AB60D73" w14:textId="77777777" w:rsidR="008B73DA" w:rsidRPr="009C7957" w:rsidRDefault="002576AB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В 2022 году основным финансовым документом </w:t>
      </w:r>
      <w:proofErr w:type="spellStart"/>
      <w:r w:rsidR="00423143" w:rsidRPr="009C7957">
        <w:rPr>
          <w:sz w:val="22"/>
        </w:rPr>
        <w:t>Алейск</w:t>
      </w:r>
      <w:r w:rsidR="00926EA5" w:rsidRPr="009C7957">
        <w:rPr>
          <w:sz w:val="22"/>
        </w:rPr>
        <w:t>ого</w:t>
      </w:r>
      <w:proofErr w:type="spellEnd"/>
      <w:r w:rsidRPr="009C7957">
        <w:rPr>
          <w:rFonts w:cs="Times New Roman"/>
          <w:sz w:val="22"/>
        </w:rPr>
        <w:t xml:space="preserve"> сельсовета являлось решение Собрания депутатов </w:t>
      </w:r>
      <w:proofErr w:type="spellStart"/>
      <w:r w:rsidR="00423143" w:rsidRPr="009C7957">
        <w:rPr>
          <w:sz w:val="22"/>
        </w:rPr>
        <w:t>Алейск</w:t>
      </w:r>
      <w:r w:rsidR="00926EA5" w:rsidRPr="009C7957">
        <w:rPr>
          <w:sz w:val="22"/>
        </w:rPr>
        <w:t>ого</w:t>
      </w:r>
      <w:proofErr w:type="spellEnd"/>
      <w:r w:rsidRPr="009C7957">
        <w:rPr>
          <w:rFonts w:cs="Times New Roman"/>
          <w:sz w:val="22"/>
        </w:rPr>
        <w:t xml:space="preserve"> сельсовета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Алтайского края от</w:t>
      </w:r>
      <w:r w:rsidR="00352DF1" w:rsidRPr="009C7957">
        <w:rPr>
          <w:rFonts w:cs="Times New Roman"/>
          <w:sz w:val="22"/>
        </w:rPr>
        <w:t xml:space="preserve"> 14.12.2021 №</w:t>
      </w:r>
      <w:r w:rsidR="00423143" w:rsidRPr="009C7957">
        <w:rPr>
          <w:rFonts w:cs="Times New Roman"/>
          <w:sz w:val="22"/>
        </w:rPr>
        <w:t>30</w:t>
      </w:r>
      <w:r w:rsidR="00352DF1" w:rsidRPr="009C7957">
        <w:rPr>
          <w:rFonts w:cs="Times New Roman"/>
          <w:sz w:val="22"/>
        </w:rPr>
        <w:t xml:space="preserve"> «О бюджете </w:t>
      </w:r>
      <w:proofErr w:type="spellStart"/>
      <w:r w:rsidR="00423143" w:rsidRPr="009C7957">
        <w:rPr>
          <w:sz w:val="22"/>
        </w:rPr>
        <w:t>Алейск</w:t>
      </w:r>
      <w:r w:rsidR="001E7172" w:rsidRPr="009C7957">
        <w:rPr>
          <w:rFonts w:cs="Times New Roman"/>
          <w:sz w:val="22"/>
        </w:rPr>
        <w:t>ого</w:t>
      </w:r>
      <w:proofErr w:type="spellEnd"/>
      <w:r w:rsidR="00352DF1" w:rsidRPr="009C7957">
        <w:rPr>
          <w:rFonts w:cs="Times New Roman"/>
          <w:sz w:val="22"/>
        </w:rPr>
        <w:t xml:space="preserve"> сельсовет</w:t>
      </w:r>
      <w:r w:rsidR="001E7172" w:rsidRPr="009C7957">
        <w:rPr>
          <w:rFonts w:cs="Times New Roman"/>
          <w:sz w:val="22"/>
        </w:rPr>
        <w:t>а</w:t>
      </w:r>
      <w:r w:rsidR="00352DF1" w:rsidRPr="009C7957">
        <w:rPr>
          <w:rFonts w:cs="Times New Roman"/>
          <w:sz w:val="22"/>
        </w:rPr>
        <w:t xml:space="preserve"> </w:t>
      </w:r>
      <w:proofErr w:type="spellStart"/>
      <w:r w:rsidR="00352DF1" w:rsidRPr="009C7957">
        <w:rPr>
          <w:rFonts w:cs="Times New Roman"/>
          <w:sz w:val="22"/>
        </w:rPr>
        <w:t>Алейского</w:t>
      </w:r>
      <w:proofErr w:type="spellEnd"/>
      <w:r w:rsidR="00352DF1" w:rsidRPr="009C7957">
        <w:rPr>
          <w:rFonts w:cs="Times New Roman"/>
          <w:sz w:val="22"/>
        </w:rPr>
        <w:t xml:space="preserve"> района Алтайского края на 2022 год и плановый период 2023 и 2024 годов</w:t>
      </w:r>
      <w:r w:rsidR="00335B41" w:rsidRPr="009C7957">
        <w:rPr>
          <w:rFonts w:cs="Times New Roman"/>
          <w:sz w:val="22"/>
        </w:rPr>
        <w:t>»</w:t>
      </w:r>
      <w:r w:rsidR="009E3AE9" w:rsidRPr="009C7957">
        <w:rPr>
          <w:rFonts w:cs="Times New Roman"/>
          <w:sz w:val="22"/>
        </w:rPr>
        <w:t xml:space="preserve"> (с учетом изменений)</w:t>
      </w:r>
      <w:r w:rsidR="00352DF1" w:rsidRPr="009C7957">
        <w:rPr>
          <w:rFonts w:cs="Times New Roman"/>
          <w:sz w:val="22"/>
        </w:rPr>
        <w:t>.</w:t>
      </w:r>
      <w:r w:rsidR="00335B41" w:rsidRPr="009C7957">
        <w:rPr>
          <w:rFonts w:cs="Times New Roman"/>
          <w:sz w:val="22"/>
        </w:rPr>
        <w:t xml:space="preserve"> Согласно </w:t>
      </w:r>
      <w:r w:rsidR="00EE55CD" w:rsidRPr="009C7957">
        <w:rPr>
          <w:rFonts w:cs="Times New Roman"/>
          <w:sz w:val="22"/>
        </w:rPr>
        <w:t xml:space="preserve">предоставленным </w:t>
      </w:r>
      <w:r w:rsidR="00335B41" w:rsidRPr="009C7957">
        <w:rPr>
          <w:rFonts w:cs="Times New Roman"/>
          <w:sz w:val="22"/>
        </w:rPr>
        <w:t>документам,</w:t>
      </w:r>
      <w:r w:rsidR="00352DF1" w:rsidRPr="009C7957">
        <w:rPr>
          <w:rFonts w:cs="Times New Roman"/>
          <w:sz w:val="22"/>
        </w:rPr>
        <w:t xml:space="preserve"> </w:t>
      </w:r>
      <w:r w:rsidR="00335B41" w:rsidRPr="009C7957">
        <w:rPr>
          <w:rFonts w:cs="Times New Roman"/>
          <w:sz w:val="22"/>
        </w:rPr>
        <w:t>в</w:t>
      </w:r>
      <w:r w:rsidR="00352DF1" w:rsidRPr="009C7957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423143" w:rsidRPr="009C7957">
        <w:rPr>
          <w:rFonts w:cs="Times New Roman"/>
          <w:sz w:val="22"/>
        </w:rPr>
        <w:t>2</w:t>
      </w:r>
      <w:r w:rsidR="00352DF1" w:rsidRPr="009C7957">
        <w:rPr>
          <w:rFonts w:cs="Times New Roman"/>
          <w:sz w:val="22"/>
        </w:rPr>
        <w:t xml:space="preserve"> раз</w:t>
      </w:r>
      <w:r w:rsidR="001E7172" w:rsidRPr="009C7957">
        <w:rPr>
          <w:rFonts w:cs="Times New Roman"/>
          <w:sz w:val="22"/>
        </w:rPr>
        <w:t>а</w:t>
      </w:r>
      <w:r w:rsidR="00335B41" w:rsidRPr="009C7957">
        <w:rPr>
          <w:rFonts w:cs="Times New Roman"/>
          <w:sz w:val="22"/>
        </w:rPr>
        <w:t xml:space="preserve"> (ред. от</w:t>
      </w:r>
      <w:r w:rsidR="00352DF1" w:rsidRPr="009C7957">
        <w:rPr>
          <w:rFonts w:cs="Times New Roman"/>
          <w:sz w:val="22"/>
        </w:rPr>
        <w:t>.</w:t>
      </w:r>
      <w:r w:rsidR="00335B41" w:rsidRPr="009C7957">
        <w:rPr>
          <w:rFonts w:cs="Times New Roman"/>
          <w:sz w:val="22"/>
        </w:rPr>
        <w:t xml:space="preserve"> </w:t>
      </w:r>
      <w:r w:rsidR="001E7172" w:rsidRPr="009C7957">
        <w:rPr>
          <w:rFonts w:cs="Times New Roman"/>
          <w:sz w:val="22"/>
        </w:rPr>
        <w:t>20</w:t>
      </w:r>
      <w:r w:rsidR="00C536A8" w:rsidRPr="009C7957">
        <w:rPr>
          <w:rFonts w:cs="Times New Roman"/>
          <w:sz w:val="22"/>
        </w:rPr>
        <w:t>.</w:t>
      </w:r>
      <w:r w:rsidR="001E7172" w:rsidRPr="009C7957">
        <w:rPr>
          <w:rFonts w:cs="Times New Roman"/>
          <w:sz w:val="22"/>
        </w:rPr>
        <w:t>0</w:t>
      </w:r>
      <w:r w:rsidR="00423143" w:rsidRPr="009C7957">
        <w:rPr>
          <w:rFonts w:cs="Times New Roman"/>
          <w:sz w:val="22"/>
        </w:rPr>
        <w:t>9</w:t>
      </w:r>
      <w:r w:rsidR="00C536A8" w:rsidRPr="009C7957">
        <w:rPr>
          <w:rFonts w:cs="Times New Roman"/>
          <w:sz w:val="22"/>
        </w:rPr>
        <w:t>.2022 №</w:t>
      </w:r>
      <w:r w:rsidR="00423143" w:rsidRPr="009C7957">
        <w:rPr>
          <w:rFonts w:cs="Times New Roman"/>
          <w:sz w:val="22"/>
        </w:rPr>
        <w:t>11</w:t>
      </w:r>
      <w:r w:rsidR="00335B41" w:rsidRPr="009C7957">
        <w:rPr>
          <w:rFonts w:cs="Times New Roman"/>
          <w:sz w:val="22"/>
        </w:rPr>
        <w:t xml:space="preserve">, от </w:t>
      </w:r>
      <w:r w:rsidR="001E7172" w:rsidRPr="009C7957">
        <w:rPr>
          <w:rFonts w:cs="Times New Roman"/>
          <w:sz w:val="22"/>
        </w:rPr>
        <w:t>2</w:t>
      </w:r>
      <w:r w:rsidR="00423143" w:rsidRPr="009C7957">
        <w:rPr>
          <w:rFonts w:cs="Times New Roman"/>
          <w:sz w:val="22"/>
        </w:rPr>
        <w:t>7</w:t>
      </w:r>
      <w:r w:rsidR="00C536A8" w:rsidRPr="009C7957">
        <w:rPr>
          <w:rFonts w:cs="Times New Roman"/>
          <w:sz w:val="22"/>
        </w:rPr>
        <w:t>.</w:t>
      </w:r>
      <w:r w:rsidR="00423143" w:rsidRPr="009C7957">
        <w:rPr>
          <w:rFonts w:cs="Times New Roman"/>
          <w:sz w:val="22"/>
        </w:rPr>
        <w:t>12</w:t>
      </w:r>
      <w:r w:rsidR="00C536A8" w:rsidRPr="009C7957">
        <w:rPr>
          <w:rFonts w:cs="Times New Roman"/>
          <w:sz w:val="22"/>
        </w:rPr>
        <w:t>.2022 №</w:t>
      </w:r>
      <w:r w:rsidR="00423143" w:rsidRPr="009C7957">
        <w:rPr>
          <w:rFonts w:cs="Times New Roman"/>
          <w:sz w:val="22"/>
        </w:rPr>
        <w:t>27</w:t>
      </w:r>
      <w:r w:rsidR="00335B41" w:rsidRPr="009C7957">
        <w:rPr>
          <w:rFonts w:cs="Times New Roman"/>
          <w:sz w:val="22"/>
        </w:rPr>
        <w:t>).</w:t>
      </w:r>
      <w:r w:rsidR="00F2514B" w:rsidRPr="009C7957">
        <w:rPr>
          <w:rFonts w:cs="Times New Roman"/>
          <w:sz w:val="22"/>
        </w:rPr>
        <w:t xml:space="preserve"> </w:t>
      </w:r>
    </w:p>
    <w:p w14:paraId="052EB2E6" w14:textId="026041C2" w:rsidR="00335B41" w:rsidRPr="009C7957" w:rsidRDefault="00335B41" w:rsidP="00A62D66">
      <w:pPr>
        <w:spacing w:line="360" w:lineRule="auto"/>
        <w:ind w:firstLine="708"/>
        <w:jc w:val="both"/>
        <w:rPr>
          <w:sz w:val="22"/>
        </w:rPr>
      </w:pPr>
      <w:r w:rsidRPr="009C7957">
        <w:rPr>
          <w:rFonts w:cs="Times New Roman"/>
          <w:sz w:val="22"/>
        </w:rPr>
        <w:t>Согласно</w:t>
      </w:r>
      <w:r w:rsidR="00352DF1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 xml:space="preserve">решению Собрания депутатов </w:t>
      </w:r>
      <w:proofErr w:type="spellStart"/>
      <w:r w:rsidR="00423143" w:rsidRPr="009C7957">
        <w:rPr>
          <w:sz w:val="22"/>
        </w:rPr>
        <w:t>Алейск</w:t>
      </w:r>
      <w:r w:rsidR="001E7172" w:rsidRPr="009C7957">
        <w:rPr>
          <w:sz w:val="22"/>
        </w:rPr>
        <w:t>ого</w:t>
      </w:r>
      <w:proofErr w:type="spellEnd"/>
      <w:r w:rsidRPr="009C7957">
        <w:rPr>
          <w:rFonts w:cs="Times New Roman"/>
          <w:sz w:val="22"/>
        </w:rPr>
        <w:t xml:space="preserve"> сельсовета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Алтайского края от 14.12.2021 №</w:t>
      </w:r>
      <w:r w:rsidR="00423143" w:rsidRPr="009C7957">
        <w:rPr>
          <w:rFonts w:cs="Times New Roman"/>
          <w:sz w:val="22"/>
        </w:rPr>
        <w:t>30</w:t>
      </w:r>
      <w:r w:rsidRPr="009C7957">
        <w:rPr>
          <w:rFonts w:cs="Times New Roman"/>
          <w:sz w:val="22"/>
        </w:rPr>
        <w:t xml:space="preserve"> «О бюджете </w:t>
      </w:r>
      <w:proofErr w:type="spellStart"/>
      <w:r w:rsidR="00423143" w:rsidRPr="009C7957">
        <w:rPr>
          <w:sz w:val="22"/>
        </w:rPr>
        <w:t>Алейск</w:t>
      </w:r>
      <w:r w:rsidR="001E7172" w:rsidRPr="009C7957">
        <w:rPr>
          <w:rFonts w:cs="Times New Roman"/>
          <w:sz w:val="22"/>
        </w:rPr>
        <w:t>о</w:t>
      </w:r>
      <w:r w:rsidR="00423143" w:rsidRPr="009C7957">
        <w:rPr>
          <w:rFonts w:cs="Times New Roman"/>
          <w:sz w:val="22"/>
        </w:rPr>
        <w:t>го</w:t>
      </w:r>
      <w:proofErr w:type="spellEnd"/>
      <w:r w:rsidR="001E7172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сельсовет</w:t>
      </w:r>
      <w:r w:rsidR="001E7172" w:rsidRPr="009C7957">
        <w:rPr>
          <w:rFonts w:cs="Times New Roman"/>
          <w:sz w:val="22"/>
        </w:rPr>
        <w:t>а</w:t>
      </w:r>
      <w:r w:rsidRPr="009C7957">
        <w:rPr>
          <w:rFonts w:cs="Times New Roman"/>
          <w:sz w:val="22"/>
        </w:rPr>
        <w:t xml:space="preserve">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Алтайского края на 2022 год и плановый период 2023 и 2024 годов»</w:t>
      </w:r>
      <w:r w:rsidR="009E3AE9" w:rsidRPr="009C7957">
        <w:rPr>
          <w:rFonts w:cs="Times New Roman"/>
          <w:sz w:val="22"/>
        </w:rPr>
        <w:t xml:space="preserve"> (с учетом изменений)</w:t>
      </w:r>
      <w:r w:rsidRPr="009C7957">
        <w:rPr>
          <w:rFonts w:cs="Times New Roman"/>
          <w:sz w:val="22"/>
        </w:rPr>
        <w:t>:</w:t>
      </w:r>
      <w:r w:rsidR="00A62D66" w:rsidRPr="009C7957">
        <w:rPr>
          <w:rFonts w:cs="Times New Roman"/>
          <w:sz w:val="22"/>
        </w:rPr>
        <w:t xml:space="preserve"> </w:t>
      </w:r>
      <w:r w:rsidRPr="009C7957">
        <w:rPr>
          <w:sz w:val="22"/>
        </w:rPr>
        <w:t xml:space="preserve">прогнозируемый общий объем доходов бюджета поселения </w:t>
      </w:r>
      <w:r w:rsidR="006E33F1" w:rsidRPr="009C7957">
        <w:rPr>
          <w:sz w:val="22"/>
        </w:rPr>
        <w:t>на 2022 год –</w:t>
      </w:r>
      <w:r w:rsidRPr="009C7957">
        <w:rPr>
          <w:sz w:val="22"/>
        </w:rPr>
        <w:t xml:space="preserve"> </w:t>
      </w:r>
      <w:r w:rsidR="00423143" w:rsidRPr="009C7957">
        <w:rPr>
          <w:sz w:val="22"/>
        </w:rPr>
        <w:t>9 280,58</w:t>
      </w:r>
      <w:r w:rsidRPr="009C7957">
        <w:rPr>
          <w:sz w:val="22"/>
        </w:rPr>
        <w:t xml:space="preserve"> тыс. руб.: в том числе межбюджетные трансферты, получаемые из других бюджетов </w:t>
      </w:r>
      <w:r w:rsidR="00423143" w:rsidRPr="009C7957">
        <w:rPr>
          <w:sz w:val="22"/>
        </w:rPr>
        <w:t>6 633,73</w:t>
      </w:r>
      <w:r w:rsidRPr="009C7957">
        <w:rPr>
          <w:sz w:val="22"/>
        </w:rPr>
        <w:t xml:space="preserve"> тыс. руб.;</w:t>
      </w:r>
      <w:r w:rsidR="00A62D66" w:rsidRPr="009C7957">
        <w:rPr>
          <w:sz w:val="22"/>
        </w:rPr>
        <w:t xml:space="preserve"> </w:t>
      </w:r>
      <w:r w:rsidRPr="009C7957">
        <w:rPr>
          <w:sz w:val="22"/>
        </w:rPr>
        <w:t xml:space="preserve">общий объем расходов поселения в сумме </w:t>
      </w:r>
      <w:r w:rsidR="00423143" w:rsidRPr="009C7957">
        <w:rPr>
          <w:sz w:val="22"/>
        </w:rPr>
        <w:t>9 327,43</w:t>
      </w:r>
      <w:r w:rsidRPr="009C7957">
        <w:rPr>
          <w:sz w:val="22"/>
        </w:rPr>
        <w:t xml:space="preserve"> тыс. руб.;</w:t>
      </w:r>
      <w:r w:rsidR="00A62D66" w:rsidRPr="009C7957">
        <w:rPr>
          <w:sz w:val="22"/>
        </w:rPr>
        <w:t xml:space="preserve"> </w:t>
      </w:r>
      <w:r w:rsidRPr="009C7957">
        <w:rPr>
          <w:sz w:val="22"/>
        </w:rPr>
        <w:t>верхний  предел  муниципального  долга  по состоянию на 1 января 202</w:t>
      </w:r>
      <w:r w:rsidR="009C7957" w:rsidRPr="009C7957">
        <w:rPr>
          <w:sz w:val="22"/>
        </w:rPr>
        <w:t>3</w:t>
      </w:r>
      <w:r w:rsidRPr="009C7957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9C7957">
        <w:rPr>
          <w:sz w:val="22"/>
        </w:rPr>
        <w:t xml:space="preserve"> </w:t>
      </w:r>
      <w:r w:rsidR="00B62A40" w:rsidRPr="009C7957">
        <w:rPr>
          <w:sz w:val="22"/>
        </w:rPr>
        <w:t>дефицит</w:t>
      </w:r>
      <w:r w:rsidRPr="009C7957">
        <w:rPr>
          <w:sz w:val="22"/>
        </w:rPr>
        <w:t xml:space="preserve"> бюджета поселения в сумме </w:t>
      </w:r>
      <w:r w:rsidR="00423143" w:rsidRPr="009C7957">
        <w:rPr>
          <w:sz w:val="22"/>
        </w:rPr>
        <w:t>46,85</w:t>
      </w:r>
      <w:r w:rsidRPr="009C7957">
        <w:rPr>
          <w:sz w:val="22"/>
        </w:rPr>
        <w:t xml:space="preserve"> тыс. рублей.</w:t>
      </w:r>
    </w:p>
    <w:p w14:paraId="6B91C4EB" w14:textId="77777777" w:rsidR="00335B41" w:rsidRPr="009C7957" w:rsidRDefault="00335B41" w:rsidP="00275198">
      <w:pPr>
        <w:spacing w:line="360" w:lineRule="auto"/>
        <w:ind w:firstLine="708"/>
        <w:jc w:val="both"/>
        <w:rPr>
          <w:sz w:val="22"/>
        </w:rPr>
      </w:pPr>
      <w:r w:rsidRPr="009C7957">
        <w:rPr>
          <w:sz w:val="22"/>
        </w:rPr>
        <w:t xml:space="preserve">Рассматриваемым </w:t>
      </w:r>
      <w:r w:rsidR="002232A5" w:rsidRPr="009C7957">
        <w:rPr>
          <w:sz w:val="22"/>
        </w:rPr>
        <w:t>Проектом решения</w:t>
      </w:r>
      <w:r w:rsidRPr="009C7957">
        <w:rPr>
          <w:sz w:val="22"/>
        </w:rPr>
        <w:t xml:space="preserve"> предлагается:</w:t>
      </w:r>
    </w:p>
    <w:p w14:paraId="523C6162" w14:textId="77777777" w:rsidR="00CB3403" w:rsidRPr="009C7957" w:rsidRDefault="00335B41" w:rsidP="004A2C9D">
      <w:pPr>
        <w:spacing w:line="276" w:lineRule="auto"/>
        <w:jc w:val="both"/>
        <w:rPr>
          <w:sz w:val="22"/>
        </w:rPr>
      </w:pPr>
      <w:r w:rsidRPr="009C7957">
        <w:rPr>
          <w:sz w:val="22"/>
        </w:rPr>
        <w:t xml:space="preserve">- утвердить отчет об исполнении бюджета поселения за 2022 год по доходам </w:t>
      </w:r>
      <w:r w:rsidR="00423143" w:rsidRPr="009C7957">
        <w:rPr>
          <w:sz w:val="22"/>
        </w:rPr>
        <w:t>9 122,15</w:t>
      </w:r>
      <w:r w:rsidR="00C536A8" w:rsidRPr="009C7957">
        <w:rPr>
          <w:sz w:val="22"/>
        </w:rPr>
        <w:t xml:space="preserve"> тыс. руб.,</w:t>
      </w:r>
      <w:r w:rsidRPr="009C7957">
        <w:rPr>
          <w:sz w:val="22"/>
        </w:rPr>
        <w:t xml:space="preserve"> по расходам – </w:t>
      </w:r>
      <w:r w:rsidR="00423143" w:rsidRPr="009C7957">
        <w:rPr>
          <w:sz w:val="22"/>
        </w:rPr>
        <w:t>9 100,89</w:t>
      </w:r>
      <w:r w:rsidR="00C536A8" w:rsidRPr="009C7957">
        <w:rPr>
          <w:sz w:val="22"/>
        </w:rPr>
        <w:t xml:space="preserve"> тыс. руб</w:t>
      </w:r>
      <w:r w:rsidRPr="009C7957">
        <w:rPr>
          <w:sz w:val="22"/>
        </w:rPr>
        <w:t>.</w:t>
      </w:r>
    </w:p>
    <w:p w14:paraId="7170C9BC" w14:textId="77777777" w:rsidR="00CB3403" w:rsidRPr="009C7957" w:rsidRDefault="00CB3403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9C7957">
        <w:rPr>
          <w:rFonts w:cs="Times New Roman"/>
          <w:color w:val="000000"/>
          <w:sz w:val="22"/>
        </w:rPr>
        <w:t xml:space="preserve">Фактическое превышение </w:t>
      </w:r>
      <w:r w:rsidR="00F90384" w:rsidRPr="009C7957">
        <w:rPr>
          <w:rFonts w:cs="Times New Roman"/>
          <w:color w:val="000000"/>
          <w:sz w:val="22"/>
        </w:rPr>
        <w:t>доходов</w:t>
      </w:r>
      <w:r w:rsidRPr="009C7957">
        <w:rPr>
          <w:rFonts w:cs="Times New Roman"/>
          <w:color w:val="000000"/>
          <w:sz w:val="22"/>
        </w:rPr>
        <w:t xml:space="preserve"> над </w:t>
      </w:r>
      <w:r w:rsidR="00F90384" w:rsidRPr="009C7957">
        <w:rPr>
          <w:rFonts w:cs="Times New Roman"/>
          <w:color w:val="000000"/>
          <w:sz w:val="22"/>
        </w:rPr>
        <w:t>расходами</w:t>
      </w:r>
      <w:r w:rsidRPr="009C7957">
        <w:rPr>
          <w:rFonts w:cs="Times New Roman"/>
          <w:color w:val="000000"/>
          <w:sz w:val="22"/>
        </w:rPr>
        <w:t xml:space="preserve"> составило </w:t>
      </w:r>
      <w:r w:rsidR="00F90384" w:rsidRPr="009C7957">
        <w:rPr>
          <w:rFonts w:cs="Times New Roman"/>
          <w:color w:val="000000"/>
          <w:sz w:val="22"/>
        </w:rPr>
        <w:t>21,3</w:t>
      </w:r>
      <w:r w:rsidR="008E0985" w:rsidRPr="009C7957">
        <w:rPr>
          <w:rFonts w:cs="Times New Roman"/>
          <w:color w:val="000000"/>
          <w:sz w:val="22"/>
        </w:rPr>
        <w:t xml:space="preserve"> тыс.</w:t>
      </w:r>
      <w:r w:rsidRPr="009C7957">
        <w:rPr>
          <w:rFonts w:cs="Times New Roman"/>
          <w:color w:val="000000"/>
          <w:sz w:val="22"/>
        </w:rPr>
        <w:t xml:space="preserve"> руб</w:t>
      </w:r>
      <w:r w:rsidR="00A17D5D" w:rsidRPr="009C7957">
        <w:rPr>
          <w:rFonts w:cs="Times New Roman"/>
          <w:color w:val="000000"/>
          <w:sz w:val="22"/>
        </w:rPr>
        <w:t>.</w:t>
      </w:r>
    </w:p>
    <w:p w14:paraId="0EF82909" w14:textId="77777777" w:rsidR="00275198" w:rsidRPr="009C7957" w:rsidRDefault="00275198" w:rsidP="00275198">
      <w:pPr>
        <w:spacing w:line="360" w:lineRule="auto"/>
        <w:jc w:val="both"/>
        <w:rPr>
          <w:sz w:val="22"/>
        </w:rPr>
      </w:pPr>
      <w:r w:rsidRPr="009C7957">
        <w:rPr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9C7957" w14:paraId="3A99EED1" w14:textId="77777777" w:rsidTr="008B3D96">
        <w:tc>
          <w:tcPr>
            <w:tcW w:w="3256" w:type="dxa"/>
            <w:vAlign w:val="center"/>
          </w:tcPr>
          <w:p w14:paraId="614AFBEF" w14:textId="77777777" w:rsidR="00275198" w:rsidRPr="009C7957" w:rsidRDefault="0027519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4AFEC79" w14:textId="77777777" w:rsidR="00275198" w:rsidRPr="009C7957" w:rsidRDefault="0027519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cs="Times New Roman"/>
                <w:sz w:val="16"/>
                <w:szCs w:val="16"/>
              </w:rPr>
              <w:t>Решение о бюджете от 14.12.2021 №</w:t>
            </w:r>
            <w:r w:rsidR="00423143" w:rsidRPr="009C7957">
              <w:rPr>
                <w:rFonts w:cs="Times New Roman"/>
                <w:sz w:val="16"/>
                <w:szCs w:val="16"/>
              </w:rPr>
              <w:t>30</w:t>
            </w:r>
            <w:r w:rsidR="000B5A85" w:rsidRPr="009C7957">
              <w:rPr>
                <w:rFonts w:cs="Times New Roman"/>
                <w:sz w:val="16"/>
                <w:szCs w:val="16"/>
              </w:rPr>
              <w:t xml:space="preserve"> (ред. от 27.12.22 №</w:t>
            </w:r>
            <w:r w:rsidR="00423143" w:rsidRPr="009C7957">
              <w:rPr>
                <w:rFonts w:cs="Times New Roman"/>
                <w:sz w:val="16"/>
                <w:szCs w:val="16"/>
              </w:rPr>
              <w:t>27</w:t>
            </w:r>
            <w:r w:rsidR="000B5A85" w:rsidRPr="009C7957">
              <w:rPr>
                <w:rFonts w:cs="Times New Roman"/>
                <w:sz w:val="16"/>
                <w:szCs w:val="16"/>
              </w:rPr>
              <w:t>)</w:t>
            </w: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  <w:r w:rsidR="000B5A85" w:rsidRPr="009C795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0F9FF8" w14:textId="77777777" w:rsidR="00275198" w:rsidRPr="009C7957" w:rsidRDefault="0027519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E78C7E8" w14:textId="77777777" w:rsidR="00275198" w:rsidRPr="009C7957" w:rsidRDefault="0027519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9C7957" w14:paraId="75796797" w14:textId="77777777" w:rsidTr="008B3D96">
        <w:tc>
          <w:tcPr>
            <w:tcW w:w="3256" w:type="dxa"/>
            <w:vAlign w:val="center"/>
          </w:tcPr>
          <w:p w14:paraId="3E6B921B" w14:textId="77777777" w:rsidR="00A0675D" w:rsidRPr="009C7957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3FD0E8E8" w14:textId="66E2A354" w:rsidR="00A0675D" w:rsidRPr="009C7957" w:rsidRDefault="00423143" w:rsidP="00FF1D39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9 280,</w:t>
            </w:r>
            <w:r w:rsidR="009C7957" w:rsidRPr="009C795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4C83D09E" w14:textId="1FA0CE05" w:rsidR="00A0675D" w:rsidRPr="009C7957" w:rsidRDefault="00423143" w:rsidP="00FF1D39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9 122,1</w:t>
            </w:r>
          </w:p>
        </w:tc>
        <w:tc>
          <w:tcPr>
            <w:tcW w:w="1892" w:type="dxa"/>
            <w:vAlign w:val="center"/>
          </w:tcPr>
          <w:p w14:paraId="77E70A0C" w14:textId="77777777" w:rsidR="00A0675D" w:rsidRPr="009C7957" w:rsidRDefault="00EB15F7" w:rsidP="00992864">
            <w:pPr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98,3</w:t>
            </w:r>
            <w:r w:rsidR="00B47361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454680B3" w14:textId="77777777" w:rsidTr="008B3D96">
        <w:tc>
          <w:tcPr>
            <w:tcW w:w="3256" w:type="dxa"/>
            <w:vAlign w:val="center"/>
          </w:tcPr>
          <w:p w14:paraId="4D880829" w14:textId="77777777" w:rsidR="00A0675D" w:rsidRPr="009C795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76ADF3EB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1 268,0</w:t>
            </w:r>
          </w:p>
        </w:tc>
        <w:tc>
          <w:tcPr>
            <w:tcW w:w="2268" w:type="dxa"/>
            <w:vAlign w:val="center"/>
          </w:tcPr>
          <w:p w14:paraId="0A737536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1 087,9</w:t>
            </w:r>
          </w:p>
        </w:tc>
        <w:tc>
          <w:tcPr>
            <w:tcW w:w="1892" w:type="dxa"/>
            <w:vAlign w:val="center"/>
          </w:tcPr>
          <w:p w14:paraId="0A644F65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85,8</w:t>
            </w:r>
            <w:r w:rsidR="00A10578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7D7AFD62" w14:textId="77777777" w:rsidTr="008B3D96">
        <w:tc>
          <w:tcPr>
            <w:tcW w:w="3256" w:type="dxa"/>
            <w:vAlign w:val="center"/>
          </w:tcPr>
          <w:p w14:paraId="3CC436E8" w14:textId="77777777" w:rsidR="00A0675D" w:rsidRPr="009C795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4E7B40FD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1 278,9</w:t>
            </w:r>
          </w:p>
        </w:tc>
        <w:tc>
          <w:tcPr>
            <w:tcW w:w="2268" w:type="dxa"/>
            <w:vAlign w:val="center"/>
          </w:tcPr>
          <w:p w14:paraId="69791A86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1 301,2</w:t>
            </w:r>
          </w:p>
        </w:tc>
        <w:tc>
          <w:tcPr>
            <w:tcW w:w="1892" w:type="dxa"/>
            <w:vAlign w:val="center"/>
          </w:tcPr>
          <w:p w14:paraId="65FB871B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101,7</w:t>
            </w:r>
            <w:r w:rsidR="00A10578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7A39EA" w:rsidRPr="009C7957" w14:paraId="73269FB2" w14:textId="77777777" w:rsidTr="008B3D96">
        <w:tc>
          <w:tcPr>
            <w:tcW w:w="3256" w:type="dxa"/>
            <w:vAlign w:val="center"/>
          </w:tcPr>
          <w:p w14:paraId="794CC784" w14:textId="77777777" w:rsidR="007A39EA" w:rsidRPr="009C7957" w:rsidRDefault="007A39EA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18EFBB5" w14:textId="77777777" w:rsidR="007A39EA" w:rsidRPr="009C7957" w:rsidRDefault="007A39EA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5AFFD5" w14:textId="77777777" w:rsidR="007A39EA" w:rsidRPr="009C7957" w:rsidRDefault="007A39EA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7F15673E" w14:textId="77777777" w:rsidR="007A39EA" w:rsidRPr="009C7957" w:rsidRDefault="007A39EA" w:rsidP="00A067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675D" w:rsidRPr="009C7957" w14:paraId="09E97EAC" w14:textId="77777777" w:rsidTr="008B3D96">
        <w:tc>
          <w:tcPr>
            <w:tcW w:w="3256" w:type="dxa"/>
            <w:vAlign w:val="center"/>
          </w:tcPr>
          <w:p w14:paraId="72578BFD" w14:textId="77777777" w:rsidR="00A0675D" w:rsidRPr="009C7957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23A25EA0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6 733,7</w:t>
            </w:r>
          </w:p>
        </w:tc>
        <w:tc>
          <w:tcPr>
            <w:tcW w:w="2268" w:type="dxa"/>
            <w:vAlign w:val="center"/>
          </w:tcPr>
          <w:p w14:paraId="2714E164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6 733,0</w:t>
            </w:r>
          </w:p>
        </w:tc>
        <w:tc>
          <w:tcPr>
            <w:tcW w:w="1892" w:type="dxa"/>
            <w:vAlign w:val="center"/>
          </w:tcPr>
          <w:p w14:paraId="671774D2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99,99</w:t>
            </w:r>
            <w:r w:rsidR="00A04D2F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663658E3" w14:textId="77777777" w:rsidTr="008B3D96">
        <w:tc>
          <w:tcPr>
            <w:tcW w:w="3256" w:type="dxa"/>
            <w:vAlign w:val="center"/>
          </w:tcPr>
          <w:p w14:paraId="5DAD52EA" w14:textId="77777777" w:rsidR="00A0675D" w:rsidRPr="009C7957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5D52D151" w14:textId="770C5CFF" w:rsidR="00A0675D" w:rsidRPr="009C7957" w:rsidRDefault="00423143" w:rsidP="00FF1D39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9 327,4</w:t>
            </w:r>
          </w:p>
        </w:tc>
        <w:tc>
          <w:tcPr>
            <w:tcW w:w="2268" w:type="dxa"/>
            <w:vAlign w:val="center"/>
          </w:tcPr>
          <w:p w14:paraId="4D35095C" w14:textId="305891E8" w:rsidR="00A0675D" w:rsidRPr="009C7957" w:rsidRDefault="00423143" w:rsidP="00FF1D39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9 100,8</w:t>
            </w:r>
          </w:p>
        </w:tc>
        <w:tc>
          <w:tcPr>
            <w:tcW w:w="1892" w:type="dxa"/>
            <w:vAlign w:val="center"/>
          </w:tcPr>
          <w:p w14:paraId="06B4EEB5" w14:textId="77777777" w:rsidR="00A0675D" w:rsidRPr="009C7957" w:rsidRDefault="00EB15F7" w:rsidP="00992864">
            <w:pPr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97,6</w:t>
            </w:r>
            <w:r w:rsidR="00B47361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37FE93F1" w14:textId="77777777" w:rsidTr="008B3D96">
        <w:tc>
          <w:tcPr>
            <w:tcW w:w="3256" w:type="dxa"/>
            <w:vAlign w:val="center"/>
          </w:tcPr>
          <w:p w14:paraId="4DFCF313" w14:textId="77777777" w:rsidR="00A0675D" w:rsidRPr="009C795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7C060E58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3 082,4</w:t>
            </w:r>
          </w:p>
        </w:tc>
        <w:tc>
          <w:tcPr>
            <w:tcW w:w="2268" w:type="dxa"/>
            <w:vAlign w:val="center"/>
          </w:tcPr>
          <w:p w14:paraId="0F613C22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2 952,1</w:t>
            </w:r>
          </w:p>
        </w:tc>
        <w:tc>
          <w:tcPr>
            <w:tcW w:w="1892" w:type="dxa"/>
            <w:vAlign w:val="center"/>
          </w:tcPr>
          <w:p w14:paraId="204CA910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95,8</w:t>
            </w:r>
            <w:r w:rsidR="0054105E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7472BF79" w14:textId="77777777" w:rsidTr="008B3D96">
        <w:tc>
          <w:tcPr>
            <w:tcW w:w="3256" w:type="dxa"/>
            <w:vAlign w:val="center"/>
          </w:tcPr>
          <w:p w14:paraId="3C7E692E" w14:textId="77777777" w:rsidR="00A0675D" w:rsidRPr="009C795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895E160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2268" w:type="dxa"/>
            <w:vAlign w:val="center"/>
          </w:tcPr>
          <w:p w14:paraId="08F40DA6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892" w:type="dxa"/>
            <w:vAlign w:val="center"/>
          </w:tcPr>
          <w:p w14:paraId="15BC50C1" w14:textId="77777777" w:rsidR="00A0675D" w:rsidRPr="009C7957" w:rsidRDefault="0054105E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9C7957" w14:paraId="7DABDA41" w14:textId="77777777" w:rsidTr="008B3D96">
        <w:tc>
          <w:tcPr>
            <w:tcW w:w="3256" w:type="dxa"/>
            <w:vAlign w:val="center"/>
          </w:tcPr>
          <w:p w14:paraId="71286A1C" w14:textId="77777777" w:rsidR="00A0675D" w:rsidRPr="009C795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67B9667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431,9</w:t>
            </w:r>
          </w:p>
        </w:tc>
        <w:tc>
          <w:tcPr>
            <w:tcW w:w="2268" w:type="dxa"/>
            <w:vAlign w:val="center"/>
          </w:tcPr>
          <w:p w14:paraId="3E45CC5A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431,4</w:t>
            </w:r>
          </w:p>
        </w:tc>
        <w:tc>
          <w:tcPr>
            <w:tcW w:w="1892" w:type="dxa"/>
            <w:vAlign w:val="center"/>
          </w:tcPr>
          <w:p w14:paraId="16BD77DB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99,9</w:t>
            </w:r>
            <w:r w:rsidR="0054105E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2150D298" w14:textId="77777777" w:rsidTr="008B3D96">
        <w:tc>
          <w:tcPr>
            <w:tcW w:w="3256" w:type="dxa"/>
            <w:vAlign w:val="center"/>
          </w:tcPr>
          <w:p w14:paraId="44E0FDAD" w14:textId="77777777" w:rsidR="00A0675D" w:rsidRPr="009C795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670BEAD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2 787,4</w:t>
            </w:r>
          </w:p>
        </w:tc>
        <w:tc>
          <w:tcPr>
            <w:tcW w:w="2268" w:type="dxa"/>
            <w:vAlign w:val="center"/>
          </w:tcPr>
          <w:p w14:paraId="2E4FAABF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2 787,0</w:t>
            </w:r>
          </w:p>
        </w:tc>
        <w:tc>
          <w:tcPr>
            <w:tcW w:w="1892" w:type="dxa"/>
            <w:vAlign w:val="center"/>
          </w:tcPr>
          <w:p w14:paraId="41562832" w14:textId="77777777" w:rsidR="00A0675D" w:rsidRPr="009C7957" w:rsidRDefault="00A04D2F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94,7</w:t>
            </w:r>
            <w:r w:rsidR="0054105E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A0675D" w:rsidRPr="009C7957" w14:paraId="7BE949AD" w14:textId="77777777" w:rsidTr="008B3D96">
        <w:tc>
          <w:tcPr>
            <w:tcW w:w="3256" w:type="dxa"/>
            <w:vAlign w:val="center"/>
          </w:tcPr>
          <w:p w14:paraId="34ABCF2F" w14:textId="77777777" w:rsidR="00A0675D" w:rsidRPr="009C7957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3E38203B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2 872,4</w:t>
            </w:r>
          </w:p>
        </w:tc>
        <w:tc>
          <w:tcPr>
            <w:tcW w:w="2268" w:type="dxa"/>
            <w:vAlign w:val="center"/>
          </w:tcPr>
          <w:p w14:paraId="0A394F54" w14:textId="77777777" w:rsidR="00A0675D" w:rsidRPr="009C7957" w:rsidRDefault="00F90384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2 777,5</w:t>
            </w:r>
          </w:p>
        </w:tc>
        <w:tc>
          <w:tcPr>
            <w:tcW w:w="1892" w:type="dxa"/>
            <w:vAlign w:val="center"/>
          </w:tcPr>
          <w:p w14:paraId="53A4FF77" w14:textId="77777777" w:rsidR="00A0675D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99,98</w:t>
            </w:r>
            <w:r w:rsidR="0054105E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B15F7" w:rsidRPr="009C7957" w14:paraId="20B9828E" w14:textId="77777777" w:rsidTr="008B3D96">
        <w:tc>
          <w:tcPr>
            <w:tcW w:w="3256" w:type="dxa"/>
            <w:vAlign w:val="center"/>
          </w:tcPr>
          <w:p w14:paraId="3FBC5CB2" w14:textId="77777777" w:rsidR="00EB15F7" w:rsidRPr="009C7957" w:rsidRDefault="00EB15F7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383CF367" w14:textId="77777777" w:rsidR="00EB15F7" w:rsidRPr="009C7957" w:rsidRDefault="00EB15F7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2268" w:type="dxa"/>
            <w:vAlign w:val="center"/>
          </w:tcPr>
          <w:p w14:paraId="15528EFC" w14:textId="77777777" w:rsidR="00EB15F7" w:rsidRPr="009C7957" w:rsidRDefault="00EB15F7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892" w:type="dxa"/>
            <w:vAlign w:val="center"/>
          </w:tcPr>
          <w:p w14:paraId="1B4427D9" w14:textId="77777777" w:rsidR="00EB15F7" w:rsidRPr="009C7957" w:rsidRDefault="00EB15F7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97,8</w:t>
            </w:r>
          </w:p>
        </w:tc>
      </w:tr>
      <w:tr w:rsidR="009258B5" w:rsidRPr="009C7957" w14:paraId="4B2FE520" w14:textId="77777777" w:rsidTr="00047208">
        <w:tc>
          <w:tcPr>
            <w:tcW w:w="3256" w:type="dxa"/>
            <w:vAlign w:val="center"/>
          </w:tcPr>
          <w:p w14:paraId="07D24972" w14:textId="77777777" w:rsidR="009258B5" w:rsidRPr="009C7957" w:rsidRDefault="008E0985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sz w:val="16"/>
                <w:szCs w:val="16"/>
              </w:rPr>
              <w:t xml:space="preserve">Дефицит </w:t>
            </w:r>
          </w:p>
        </w:tc>
        <w:tc>
          <w:tcPr>
            <w:tcW w:w="2126" w:type="dxa"/>
            <w:vAlign w:val="center"/>
          </w:tcPr>
          <w:p w14:paraId="2958554F" w14:textId="12E78744" w:rsidR="009258B5" w:rsidRPr="009C7957" w:rsidRDefault="00EB15F7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46,</w:t>
            </w:r>
            <w:r w:rsidR="009C7957" w:rsidRPr="009C795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D88B2" w14:textId="77777777" w:rsidR="009258B5" w:rsidRPr="009C7957" w:rsidRDefault="00EB15F7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401FC11" w14:textId="77777777" w:rsidR="009258B5" w:rsidRPr="009C7957" w:rsidRDefault="00EB15F7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EB15F7" w:rsidRPr="009C7957" w14:paraId="0C7CFECE" w14:textId="77777777" w:rsidTr="00047208">
        <w:tc>
          <w:tcPr>
            <w:tcW w:w="3256" w:type="dxa"/>
            <w:vAlign w:val="center"/>
          </w:tcPr>
          <w:p w14:paraId="0775EB5F" w14:textId="77777777" w:rsidR="00EB15F7" w:rsidRPr="009C7957" w:rsidRDefault="00EB15F7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2126" w:type="dxa"/>
            <w:vAlign w:val="center"/>
          </w:tcPr>
          <w:p w14:paraId="51D360D2" w14:textId="77777777" w:rsidR="00EB15F7" w:rsidRPr="009C7957" w:rsidRDefault="00EB15F7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632CE" w14:textId="77777777" w:rsidR="00EB15F7" w:rsidRPr="009C7957" w:rsidRDefault="00EB15F7" w:rsidP="0099286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B47CC7E" w14:textId="77777777" w:rsidR="00EB15F7" w:rsidRPr="009C7957" w:rsidRDefault="00EB15F7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247D038" w14:textId="77777777" w:rsidR="000A6B47" w:rsidRPr="009C795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080BD4B5" w14:textId="77777777" w:rsidR="00A0675D" w:rsidRPr="009C7957" w:rsidRDefault="00A0675D" w:rsidP="00275198">
      <w:pPr>
        <w:spacing w:line="360" w:lineRule="auto"/>
        <w:jc w:val="both"/>
        <w:rPr>
          <w:b/>
          <w:bCs/>
          <w:sz w:val="22"/>
        </w:rPr>
      </w:pPr>
      <w:r w:rsidRPr="009C7957">
        <w:rPr>
          <w:b/>
          <w:bCs/>
          <w:sz w:val="22"/>
        </w:rPr>
        <w:t>Исполнение бюджета по доходам</w:t>
      </w:r>
    </w:p>
    <w:p w14:paraId="48EBC77F" w14:textId="5745D2AF" w:rsidR="00A0675D" w:rsidRPr="009C7957" w:rsidRDefault="00A0675D" w:rsidP="003742F8">
      <w:pPr>
        <w:spacing w:line="360" w:lineRule="auto"/>
        <w:ind w:firstLine="425"/>
        <w:jc w:val="both"/>
        <w:rPr>
          <w:sz w:val="22"/>
        </w:rPr>
      </w:pPr>
      <w:r w:rsidRPr="009C7957">
        <w:rPr>
          <w:sz w:val="22"/>
        </w:rPr>
        <w:t xml:space="preserve">Доходная часть бюджета поселения за 2022 год составила </w:t>
      </w:r>
      <w:r w:rsidR="009C7957" w:rsidRPr="009C7957">
        <w:rPr>
          <w:sz w:val="22"/>
        </w:rPr>
        <w:t>9 122,1</w:t>
      </w:r>
      <w:r w:rsidRPr="009C7957">
        <w:rPr>
          <w:sz w:val="22"/>
        </w:rPr>
        <w:t xml:space="preserve"> тыс.</w:t>
      </w:r>
      <w:r w:rsidR="000C7AD7" w:rsidRPr="009C7957">
        <w:rPr>
          <w:sz w:val="22"/>
        </w:rPr>
        <w:t xml:space="preserve"> </w:t>
      </w:r>
      <w:r w:rsidRPr="009C7957">
        <w:rPr>
          <w:sz w:val="22"/>
        </w:rPr>
        <w:t>руб., что составило 9</w:t>
      </w:r>
      <w:r w:rsidR="007172D8" w:rsidRPr="009C7957">
        <w:rPr>
          <w:sz w:val="22"/>
        </w:rPr>
        <w:t>5</w:t>
      </w:r>
      <w:r w:rsidRPr="009C7957">
        <w:rPr>
          <w:sz w:val="22"/>
        </w:rPr>
        <w:t>,</w:t>
      </w:r>
      <w:r w:rsidR="007172D8" w:rsidRPr="009C7957">
        <w:rPr>
          <w:sz w:val="22"/>
        </w:rPr>
        <w:t>1</w:t>
      </w:r>
      <w:r w:rsidRPr="009C7957">
        <w:rPr>
          <w:sz w:val="22"/>
        </w:rPr>
        <w:t xml:space="preserve">% планового показателя. При этом налоговые доходы исполнены на </w:t>
      </w:r>
      <w:r w:rsidR="007172D8" w:rsidRPr="009C7957">
        <w:rPr>
          <w:sz w:val="22"/>
        </w:rPr>
        <w:t>98,2</w:t>
      </w:r>
      <w:r w:rsidRPr="009C7957">
        <w:rPr>
          <w:sz w:val="22"/>
        </w:rPr>
        <w:t xml:space="preserve">%, неналоговые – на </w:t>
      </w:r>
      <w:r w:rsidR="00992864" w:rsidRPr="009C7957">
        <w:rPr>
          <w:sz w:val="22"/>
        </w:rPr>
        <w:t>100,</w:t>
      </w:r>
      <w:r w:rsidR="007172D8" w:rsidRPr="009C7957">
        <w:rPr>
          <w:sz w:val="22"/>
        </w:rPr>
        <w:t>1</w:t>
      </w:r>
      <w:r w:rsidRPr="009C7957">
        <w:rPr>
          <w:sz w:val="22"/>
        </w:rPr>
        <w:t xml:space="preserve">%, безвозмездные поступления – на </w:t>
      </w:r>
      <w:r w:rsidR="007172D8" w:rsidRPr="009C7957">
        <w:rPr>
          <w:sz w:val="22"/>
        </w:rPr>
        <w:t>89,1</w:t>
      </w:r>
      <w:r w:rsidRPr="009C7957">
        <w:rPr>
          <w:sz w:val="22"/>
        </w:rPr>
        <w:t>%.</w:t>
      </w:r>
    </w:p>
    <w:p w14:paraId="18511F44" w14:textId="77777777" w:rsidR="003742F8" w:rsidRPr="009C7957" w:rsidRDefault="00AA303A" w:rsidP="003742F8">
      <w:pPr>
        <w:spacing w:line="360" w:lineRule="auto"/>
        <w:ind w:firstLine="425"/>
        <w:jc w:val="both"/>
        <w:rPr>
          <w:sz w:val="22"/>
        </w:rPr>
      </w:pPr>
      <w:r w:rsidRPr="009C7957">
        <w:rPr>
          <w:sz w:val="22"/>
        </w:rPr>
        <w:t>Исполнение в</w:t>
      </w:r>
      <w:r w:rsidR="003742F8" w:rsidRPr="009C7957">
        <w:rPr>
          <w:sz w:val="22"/>
        </w:rPr>
        <w:t xml:space="preserve"> структуре доходов</w:t>
      </w:r>
      <w:r w:rsidRPr="009C7957">
        <w:rPr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9C7957" w14:paraId="24EC103A" w14:textId="77777777" w:rsidTr="007172D8">
        <w:tc>
          <w:tcPr>
            <w:tcW w:w="3256" w:type="dxa"/>
            <w:vAlign w:val="center"/>
          </w:tcPr>
          <w:p w14:paraId="7B293C28" w14:textId="77777777" w:rsidR="003742F8" w:rsidRPr="009C7957" w:rsidRDefault="003742F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7F5BD2B" w14:textId="77777777" w:rsidR="003742F8" w:rsidRPr="009C7957" w:rsidRDefault="00FF11E3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cs="Times New Roman"/>
                <w:sz w:val="16"/>
                <w:szCs w:val="16"/>
              </w:rPr>
              <w:t>Решение о бюджете от 14.12.2021 №30 (ред. от 27.12.22 №27)</w:t>
            </w: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29671787" w14:textId="77777777" w:rsidR="003742F8" w:rsidRPr="009C7957" w:rsidRDefault="003742F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72FE6816" w14:textId="77777777" w:rsidR="003742F8" w:rsidRPr="009C7957" w:rsidRDefault="003742F8" w:rsidP="00FF11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FF11E3" w:rsidRPr="009C7957" w14:paraId="66D133FD" w14:textId="77777777" w:rsidTr="007172D8">
        <w:tc>
          <w:tcPr>
            <w:tcW w:w="3256" w:type="dxa"/>
            <w:vAlign w:val="center"/>
          </w:tcPr>
          <w:p w14:paraId="0F373AD8" w14:textId="77777777" w:rsidR="00FF11E3" w:rsidRPr="009C7957" w:rsidRDefault="00FF11E3" w:rsidP="00FF11E3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54D925AB" w14:textId="6C996008" w:rsidR="00FF11E3" w:rsidRPr="009C7957" w:rsidRDefault="00FF11E3" w:rsidP="00FF11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9 280,</w:t>
            </w:r>
            <w:r w:rsidR="009C7957" w:rsidRPr="009C795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2986E99D" w14:textId="2B236A67" w:rsidR="00FF11E3" w:rsidRPr="009C7957" w:rsidRDefault="00FF11E3" w:rsidP="00FF11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9 122,1</w:t>
            </w:r>
            <w:r w:rsidR="009C7957" w:rsidRPr="009C795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Align w:val="center"/>
          </w:tcPr>
          <w:p w14:paraId="37BCF35E" w14:textId="77777777" w:rsidR="00FF11E3" w:rsidRPr="009C7957" w:rsidRDefault="00FF11E3" w:rsidP="00FF11E3">
            <w:pPr>
              <w:rPr>
                <w:b/>
                <w:bCs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FF11E3" w:rsidRPr="009C7957" w14:paraId="01DBAD6C" w14:textId="77777777" w:rsidTr="007172D8">
        <w:tc>
          <w:tcPr>
            <w:tcW w:w="3256" w:type="dxa"/>
            <w:vAlign w:val="center"/>
          </w:tcPr>
          <w:p w14:paraId="02C45EC2" w14:textId="77777777" w:rsidR="00FF11E3" w:rsidRPr="009C7957" w:rsidRDefault="00FF11E3" w:rsidP="00FF11E3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4273F6E4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1 268,0</w:t>
            </w:r>
          </w:p>
        </w:tc>
        <w:tc>
          <w:tcPr>
            <w:tcW w:w="2268" w:type="dxa"/>
            <w:vAlign w:val="center"/>
          </w:tcPr>
          <w:p w14:paraId="75D36E6E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1 087,9</w:t>
            </w:r>
          </w:p>
        </w:tc>
        <w:tc>
          <w:tcPr>
            <w:tcW w:w="1892" w:type="dxa"/>
            <w:vAlign w:val="center"/>
          </w:tcPr>
          <w:p w14:paraId="4B406E7E" w14:textId="77777777" w:rsidR="00FF11E3" w:rsidRPr="009C7957" w:rsidRDefault="00FF11E3" w:rsidP="00FF11E3">
            <w:pPr>
              <w:jc w:val="center"/>
              <w:rPr>
                <w:b/>
                <w:bCs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85,8%</w:t>
            </w:r>
          </w:p>
        </w:tc>
      </w:tr>
      <w:tr w:rsidR="00FF11E3" w:rsidRPr="009C7957" w14:paraId="69F9E8E5" w14:textId="77777777" w:rsidTr="007172D8">
        <w:tc>
          <w:tcPr>
            <w:tcW w:w="3256" w:type="dxa"/>
            <w:vAlign w:val="center"/>
          </w:tcPr>
          <w:p w14:paraId="6398ACF3" w14:textId="77777777" w:rsidR="00FF11E3" w:rsidRPr="009C7957" w:rsidRDefault="00FF11E3" w:rsidP="00FF11E3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32FC044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2268" w:type="dxa"/>
            <w:vAlign w:val="bottom"/>
          </w:tcPr>
          <w:p w14:paraId="09EFE751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174,9</w:t>
            </w:r>
          </w:p>
        </w:tc>
        <w:tc>
          <w:tcPr>
            <w:tcW w:w="1892" w:type="dxa"/>
            <w:vAlign w:val="center"/>
          </w:tcPr>
          <w:p w14:paraId="5389D695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95,8%</w:t>
            </w:r>
          </w:p>
        </w:tc>
      </w:tr>
      <w:tr w:rsidR="00FF11E3" w:rsidRPr="009C7957" w14:paraId="4534D26F" w14:textId="77777777" w:rsidTr="007172D8">
        <w:tc>
          <w:tcPr>
            <w:tcW w:w="3256" w:type="dxa"/>
            <w:vAlign w:val="center"/>
          </w:tcPr>
          <w:p w14:paraId="33688012" w14:textId="77777777" w:rsidR="00FF11E3" w:rsidRPr="009C7957" w:rsidRDefault="00FF11E3" w:rsidP="00FF11E3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4B05F513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2268" w:type="dxa"/>
            <w:vAlign w:val="bottom"/>
          </w:tcPr>
          <w:p w14:paraId="3E97BF22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892" w:type="dxa"/>
            <w:vAlign w:val="center"/>
          </w:tcPr>
          <w:p w14:paraId="5E8C3E09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45,7%</w:t>
            </w:r>
          </w:p>
        </w:tc>
      </w:tr>
      <w:tr w:rsidR="00FF11E3" w:rsidRPr="009C7957" w14:paraId="2B283A4E" w14:textId="77777777" w:rsidTr="007172D8">
        <w:tc>
          <w:tcPr>
            <w:tcW w:w="3256" w:type="dxa"/>
            <w:vAlign w:val="center"/>
          </w:tcPr>
          <w:p w14:paraId="1679CD22" w14:textId="77777777" w:rsidR="00FF11E3" w:rsidRPr="009C7957" w:rsidRDefault="00FF11E3" w:rsidP="00FF11E3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59BF5EE7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967,0</w:t>
            </w:r>
          </w:p>
        </w:tc>
        <w:tc>
          <w:tcPr>
            <w:tcW w:w="2268" w:type="dxa"/>
            <w:vAlign w:val="bottom"/>
          </w:tcPr>
          <w:p w14:paraId="1DA89DAF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856,9</w:t>
            </w:r>
          </w:p>
        </w:tc>
        <w:tc>
          <w:tcPr>
            <w:tcW w:w="1892" w:type="dxa"/>
            <w:vAlign w:val="center"/>
          </w:tcPr>
          <w:p w14:paraId="68B60D47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88,6%</w:t>
            </w:r>
          </w:p>
        </w:tc>
      </w:tr>
      <w:tr w:rsidR="00FF11E3" w:rsidRPr="009C7957" w14:paraId="79672F44" w14:textId="77777777" w:rsidTr="007172D8">
        <w:tc>
          <w:tcPr>
            <w:tcW w:w="3256" w:type="dxa"/>
            <w:vAlign w:val="center"/>
          </w:tcPr>
          <w:p w14:paraId="41519030" w14:textId="77777777" w:rsidR="00FF11E3" w:rsidRPr="009C7957" w:rsidRDefault="00FF11E3" w:rsidP="00FF11E3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711550B5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68" w:type="dxa"/>
            <w:vAlign w:val="bottom"/>
          </w:tcPr>
          <w:p w14:paraId="59C636B3" w14:textId="3FC525D9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3,</w:t>
            </w:r>
            <w:r w:rsidR="009C7957" w:rsidRPr="009C795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2" w:type="dxa"/>
            <w:vAlign w:val="center"/>
          </w:tcPr>
          <w:p w14:paraId="242D501D" w14:textId="3AFB34D4" w:rsidR="00FF11E3" w:rsidRPr="009C7957" w:rsidRDefault="009C7957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116,7</w:t>
            </w:r>
            <w:r w:rsidR="0028257E" w:rsidRPr="009C7957">
              <w:rPr>
                <w:sz w:val="16"/>
                <w:szCs w:val="16"/>
              </w:rPr>
              <w:t>%</w:t>
            </w:r>
          </w:p>
        </w:tc>
      </w:tr>
      <w:tr w:rsidR="00FF11E3" w:rsidRPr="009C7957" w14:paraId="796852AE" w14:textId="77777777" w:rsidTr="007172D8">
        <w:tc>
          <w:tcPr>
            <w:tcW w:w="3256" w:type="dxa"/>
            <w:vAlign w:val="center"/>
          </w:tcPr>
          <w:p w14:paraId="068D2F87" w14:textId="77777777" w:rsidR="00FF11E3" w:rsidRPr="009C7957" w:rsidRDefault="00FF11E3" w:rsidP="00FF11E3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71651034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1 278,9</w:t>
            </w:r>
          </w:p>
        </w:tc>
        <w:tc>
          <w:tcPr>
            <w:tcW w:w="2268" w:type="dxa"/>
            <w:vAlign w:val="center"/>
          </w:tcPr>
          <w:p w14:paraId="4D2B83A4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1 301,2</w:t>
            </w:r>
          </w:p>
        </w:tc>
        <w:tc>
          <w:tcPr>
            <w:tcW w:w="1892" w:type="dxa"/>
            <w:vAlign w:val="center"/>
          </w:tcPr>
          <w:p w14:paraId="19660206" w14:textId="77777777" w:rsidR="00FF11E3" w:rsidRPr="009C7957" w:rsidRDefault="00FF11E3" w:rsidP="00FF11E3">
            <w:pPr>
              <w:jc w:val="center"/>
              <w:rPr>
                <w:b/>
                <w:bCs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101,7%</w:t>
            </w:r>
          </w:p>
        </w:tc>
      </w:tr>
      <w:tr w:rsidR="00FF11E3" w:rsidRPr="009C7957" w14:paraId="3AABB1F5" w14:textId="77777777" w:rsidTr="007172D8">
        <w:tc>
          <w:tcPr>
            <w:tcW w:w="3256" w:type="dxa"/>
          </w:tcPr>
          <w:p w14:paraId="3238C763" w14:textId="77777777" w:rsidR="00FF11E3" w:rsidRPr="009C7957" w:rsidRDefault="00FF11E3" w:rsidP="00FF11E3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4745E347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2268" w:type="dxa"/>
            <w:vAlign w:val="bottom"/>
          </w:tcPr>
          <w:p w14:paraId="5F2CEB1D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1892" w:type="dxa"/>
            <w:vAlign w:val="center"/>
          </w:tcPr>
          <w:p w14:paraId="5944ACF2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103,4%</w:t>
            </w:r>
          </w:p>
        </w:tc>
      </w:tr>
      <w:tr w:rsidR="00FF11E3" w:rsidRPr="009C7957" w14:paraId="0E57739D" w14:textId="77777777" w:rsidTr="007172D8">
        <w:tc>
          <w:tcPr>
            <w:tcW w:w="3256" w:type="dxa"/>
          </w:tcPr>
          <w:p w14:paraId="67D6C903" w14:textId="77777777" w:rsidR="00FF11E3" w:rsidRPr="009C7957" w:rsidRDefault="00FF11E3" w:rsidP="00FF11E3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35EA5D18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7D6F39" w:rsidRPr="009C7957"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68" w:type="dxa"/>
            <w:vAlign w:val="bottom"/>
          </w:tcPr>
          <w:p w14:paraId="7B0235DC" w14:textId="77777777" w:rsidR="00FF11E3" w:rsidRPr="009C7957" w:rsidRDefault="00B24184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1892" w:type="dxa"/>
            <w:vAlign w:val="center"/>
          </w:tcPr>
          <w:p w14:paraId="1ED93874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99,96%</w:t>
            </w:r>
          </w:p>
        </w:tc>
      </w:tr>
      <w:tr w:rsidR="00FF11E3" w:rsidRPr="009C7957" w14:paraId="182560CC" w14:textId="77777777" w:rsidTr="007172D8">
        <w:tc>
          <w:tcPr>
            <w:tcW w:w="3256" w:type="dxa"/>
          </w:tcPr>
          <w:p w14:paraId="4BFB0DB9" w14:textId="77777777" w:rsidR="00FF11E3" w:rsidRPr="009C7957" w:rsidRDefault="00FF11E3" w:rsidP="00FF11E3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bottom"/>
          </w:tcPr>
          <w:p w14:paraId="794A5B2E" w14:textId="77777777" w:rsidR="00FF11E3" w:rsidRPr="009C7957" w:rsidRDefault="007D6F39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268" w:type="dxa"/>
            <w:vAlign w:val="bottom"/>
          </w:tcPr>
          <w:p w14:paraId="3498DFE9" w14:textId="5226864D" w:rsidR="00FF11E3" w:rsidRPr="009C7957" w:rsidRDefault="007D6F39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892" w:type="dxa"/>
            <w:vAlign w:val="center"/>
          </w:tcPr>
          <w:p w14:paraId="67D2AC35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100,04%</w:t>
            </w:r>
          </w:p>
        </w:tc>
      </w:tr>
      <w:tr w:rsidR="00FF11E3" w:rsidRPr="009C7957" w14:paraId="03680B23" w14:textId="77777777" w:rsidTr="007172D8">
        <w:tc>
          <w:tcPr>
            <w:tcW w:w="3256" w:type="dxa"/>
            <w:vAlign w:val="center"/>
          </w:tcPr>
          <w:p w14:paraId="6CFF2908" w14:textId="77777777" w:rsidR="00FF11E3" w:rsidRPr="009C7957" w:rsidRDefault="00FF11E3" w:rsidP="00FF11E3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13D5F738" w14:textId="77777777" w:rsidR="00FF11E3" w:rsidRPr="009C7957" w:rsidRDefault="007D6F39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2268" w:type="dxa"/>
            <w:vAlign w:val="bottom"/>
          </w:tcPr>
          <w:p w14:paraId="1279D49F" w14:textId="77777777" w:rsidR="00FF11E3" w:rsidRPr="009C7957" w:rsidRDefault="007D6F39" w:rsidP="00FF11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892" w:type="dxa"/>
            <w:vAlign w:val="center"/>
          </w:tcPr>
          <w:p w14:paraId="66DE90DB" w14:textId="77777777" w:rsidR="00FF11E3" w:rsidRPr="009C7957" w:rsidRDefault="0028257E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100,0%</w:t>
            </w:r>
          </w:p>
        </w:tc>
      </w:tr>
      <w:tr w:rsidR="00FF11E3" w:rsidRPr="009C7957" w14:paraId="0A757CCA" w14:textId="77777777" w:rsidTr="007172D8">
        <w:tc>
          <w:tcPr>
            <w:tcW w:w="3256" w:type="dxa"/>
            <w:vAlign w:val="center"/>
          </w:tcPr>
          <w:p w14:paraId="497FEE91" w14:textId="77777777" w:rsidR="00FF11E3" w:rsidRPr="009C7957" w:rsidRDefault="00FF11E3" w:rsidP="00FF11E3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4BF01B00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6 733,7</w:t>
            </w:r>
          </w:p>
        </w:tc>
        <w:tc>
          <w:tcPr>
            <w:tcW w:w="2268" w:type="dxa"/>
            <w:vAlign w:val="center"/>
          </w:tcPr>
          <w:p w14:paraId="55489F2C" w14:textId="77777777" w:rsidR="00FF11E3" w:rsidRPr="009C7957" w:rsidRDefault="00FF11E3" w:rsidP="007D6F3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6 733,0</w:t>
            </w:r>
          </w:p>
        </w:tc>
        <w:tc>
          <w:tcPr>
            <w:tcW w:w="1892" w:type="dxa"/>
            <w:vAlign w:val="center"/>
          </w:tcPr>
          <w:p w14:paraId="5E0F4275" w14:textId="77777777" w:rsidR="00FF11E3" w:rsidRPr="009C7957" w:rsidRDefault="00FF11E3" w:rsidP="00FF11E3">
            <w:pPr>
              <w:jc w:val="center"/>
              <w:rPr>
                <w:b/>
                <w:bCs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99,99%</w:t>
            </w:r>
          </w:p>
        </w:tc>
      </w:tr>
      <w:tr w:rsidR="00FF11E3" w:rsidRPr="009C7957" w14:paraId="4C9A3CF6" w14:textId="77777777" w:rsidTr="007172D8">
        <w:tc>
          <w:tcPr>
            <w:tcW w:w="3256" w:type="dxa"/>
            <w:vAlign w:val="center"/>
          </w:tcPr>
          <w:p w14:paraId="584115A4" w14:textId="77777777" w:rsidR="00FF11E3" w:rsidRPr="009C7957" w:rsidRDefault="00FF11E3" w:rsidP="00FF11E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53E820A0" w14:textId="77777777" w:rsidR="00FF11E3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2268" w:type="dxa"/>
            <w:vAlign w:val="center"/>
          </w:tcPr>
          <w:p w14:paraId="0B38711F" w14:textId="77777777" w:rsidR="00FF11E3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1892" w:type="dxa"/>
            <w:vAlign w:val="center"/>
          </w:tcPr>
          <w:p w14:paraId="0F586152" w14:textId="77777777" w:rsidR="00FF11E3" w:rsidRPr="009C7957" w:rsidRDefault="004A0672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100,0%</w:t>
            </w:r>
          </w:p>
        </w:tc>
      </w:tr>
      <w:tr w:rsidR="004A0672" w:rsidRPr="009C7957" w14:paraId="17873EAB" w14:textId="77777777" w:rsidTr="00F507F0">
        <w:tc>
          <w:tcPr>
            <w:tcW w:w="3256" w:type="dxa"/>
            <w:vAlign w:val="center"/>
          </w:tcPr>
          <w:p w14:paraId="54218FB8" w14:textId="77777777" w:rsidR="004A0672" w:rsidRPr="009C7957" w:rsidRDefault="004A0672" w:rsidP="004A067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14:paraId="26936455" w14:textId="77777777" w:rsidR="004A0672" w:rsidRPr="009C7957" w:rsidRDefault="004A0672" w:rsidP="004A067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1 934,7</w:t>
            </w:r>
          </w:p>
        </w:tc>
        <w:tc>
          <w:tcPr>
            <w:tcW w:w="2268" w:type="dxa"/>
            <w:vAlign w:val="center"/>
          </w:tcPr>
          <w:p w14:paraId="7F7CC639" w14:textId="77777777" w:rsidR="004A0672" w:rsidRPr="009C7957" w:rsidRDefault="004A0672" w:rsidP="004A067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1 934,7</w:t>
            </w:r>
          </w:p>
        </w:tc>
        <w:tc>
          <w:tcPr>
            <w:tcW w:w="1892" w:type="dxa"/>
          </w:tcPr>
          <w:p w14:paraId="70CD857F" w14:textId="77777777" w:rsidR="004A0672" w:rsidRPr="009C7957" w:rsidRDefault="004A0672" w:rsidP="004A0672">
            <w:pPr>
              <w:jc w:val="center"/>
              <w:rPr>
                <w:sz w:val="16"/>
                <w:szCs w:val="16"/>
                <w:highlight w:val="yellow"/>
              </w:rPr>
            </w:pPr>
            <w:r w:rsidRPr="009C7957">
              <w:rPr>
                <w:sz w:val="16"/>
                <w:szCs w:val="16"/>
              </w:rPr>
              <w:t>100,0%</w:t>
            </w:r>
          </w:p>
        </w:tc>
      </w:tr>
      <w:tr w:rsidR="004A0672" w:rsidRPr="009C7957" w14:paraId="33D35B3A" w14:textId="77777777" w:rsidTr="00F507F0">
        <w:tc>
          <w:tcPr>
            <w:tcW w:w="3256" w:type="dxa"/>
            <w:vAlign w:val="center"/>
          </w:tcPr>
          <w:p w14:paraId="3A7BDE65" w14:textId="77777777" w:rsidR="004A0672" w:rsidRPr="009C7957" w:rsidRDefault="004A0672" w:rsidP="004A067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3D0F8BFA" w14:textId="77777777" w:rsidR="004A0672" w:rsidRPr="009C7957" w:rsidRDefault="004A0672" w:rsidP="004A067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2268" w:type="dxa"/>
            <w:vAlign w:val="center"/>
          </w:tcPr>
          <w:p w14:paraId="1879D402" w14:textId="77777777" w:rsidR="004A0672" w:rsidRPr="009C7957" w:rsidRDefault="004A0672" w:rsidP="004A067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892" w:type="dxa"/>
          </w:tcPr>
          <w:p w14:paraId="14C71092" w14:textId="77777777" w:rsidR="004A0672" w:rsidRPr="009C7957" w:rsidRDefault="004A0672" w:rsidP="004A0672">
            <w:pPr>
              <w:jc w:val="center"/>
              <w:rPr>
                <w:sz w:val="16"/>
                <w:szCs w:val="16"/>
                <w:highlight w:val="yellow"/>
              </w:rPr>
            </w:pPr>
            <w:r w:rsidRPr="009C7957">
              <w:rPr>
                <w:sz w:val="16"/>
                <w:szCs w:val="16"/>
              </w:rPr>
              <w:t>100,0%</w:t>
            </w:r>
          </w:p>
        </w:tc>
      </w:tr>
      <w:tr w:rsidR="00FF11E3" w:rsidRPr="009C7957" w14:paraId="5A108AE2" w14:textId="77777777" w:rsidTr="004A0672">
        <w:trPr>
          <w:trHeight w:val="461"/>
        </w:trPr>
        <w:tc>
          <w:tcPr>
            <w:tcW w:w="3256" w:type="dxa"/>
            <w:vAlign w:val="center"/>
          </w:tcPr>
          <w:p w14:paraId="4E5F7DA9" w14:textId="77777777" w:rsidR="00FF11E3" w:rsidRPr="009C7957" w:rsidRDefault="004A0672" w:rsidP="00FF11E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9C7957">
              <w:rPr>
                <w:rFonts w:cs="Times New Roman"/>
                <w:sz w:val="16"/>
                <w:szCs w:val="16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4064A213" w14:textId="77777777" w:rsidR="00FF11E3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lastRenderedPageBreak/>
              <w:t>595,8</w:t>
            </w:r>
          </w:p>
        </w:tc>
        <w:tc>
          <w:tcPr>
            <w:tcW w:w="2268" w:type="dxa"/>
            <w:vAlign w:val="center"/>
          </w:tcPr>
          <w:p w14:paraId="6FAA7908" w14:textId="77777777" w:rsidR="00FF11E3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595,2</w:t>
            </w:r>
          </w:p>
        </w:tc>
        <w:tc>
          <w:tcPr>
            <w:tcW w:w="1892" w:type="dxa"/>
            <w:vAlign w:val="center"/>
          </w:tcPr>
          <w:p w14:paraId="79F228B4" w14:textId="77777777" w:rsidR="00FF11E3" w:rsidRPr="009C7957" w:rsidRDefault="004A0672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99,9%</w:t>
            </w:r>
          </w:p>
        </w:tc>
      </w:tr>
      <w:tr w:rsidR="004A0672" w:rsidRPr="009C7957" w14:paraId="2348CE7E" w14:textId="77777777" w:rsidTr="004A0672">
        <w:trPr>
          <w:trHeight w:val="461"/>
        </w:trPr>
        <w:tc>
          <w:tcPr>
            <w:tcW w:w="3256" w:type="dxa"/>
            <w:vAlign w:val="center"/>
          </w:tcPr>
          <w:p w14:paraId="47ACE5EE" w14:textId="77777777" w:rsidR="004A0672" w:rsidRPr="009C7957" w:rsidRDefault="004A0672" w:rsidP="00FF11E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4EFDAF88" w14:textId="77777777" w:rsidR="004A0672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3 461,8</w:t>
            </w:r>
          </w:p>
        </w:tc>
        <w:tc>
          <w:tcPr>
            <w:tcW w:w="2268" w:type="dxa"/>
            <w:vAlign w:val="center"/>
          </w:tcPr>
          <w:p w14:paraId="7543C69A" w14:textId="77777777" w:rsidR="004A0672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3 461,7</w:t>
            </w:r>
          </w:p>
        </w:tc>
        <w:tc>
          <w:tcPr>
            <w:tcW w:w="1892" w:type="dxa"/>
            <w:vAlign w:val="center"/>
          </w:tcPr>
          <w:p w14:paraId="4426E5C0" w14:textId="77777777" w:rsidR="004A0672" w:rsidRPr="009C7957" w:rsidRDefault="004A0672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99,99%</w:t>
            </w:r>
          </w:p>
        </w:tc>
      </w:tr>
      <w:tr w:rsidR="00D30549" w:rsidRPr="009C7957" w14:paraId="5E608878" w14:textId="77777777" w:rsidTr="004A0672">
        <w:trPr>
          <w:trHeight w:val="461"/>
        </w:trPr>
        <w:tc>
          <w:tcPr>
            <w:tcW w:w="3256" w:type="dxa"/>
            <w:vAlign w:val="center"/>
          </w:tcPr>
          <w:p w14:paraId="3E0FF81C" w14:textId="77777777" w:rsidR="00D30549" w:rsidRPr="009C7957" w:rsidRDefault="00D30549" w:rsidP="00FF11E3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5AE2451" w14:textId="77777777" w:rsidR="00D30549" w:rsidRPr="009C7957" w:rsidRDefault="00D30549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B3D840" w14:textId="77777777" w:rsidR="00D30549" w:rsidRPr="009C7957" w:rsidRDefault="00D30549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Align w:val="center"/>
          </w:tcPr>
          <w:p w14:paraId="027BB1CC" w14:textId="77777777" w:rsidR="00D30549" w:rsidRPr="009C7957" w:rsidRDefault="00D30549" w:rsidP="00FF11E3">
            <w:pPr>
              <w:jc w:val="center"/>
              <w:rPr>
                <w:sz w:val="16"/>
                <w:szCs w:val="16"/>
              </w:rPr>
            </w:pPr>
          </w:p>
        </w:tc>
      </w:tr>
      <w:tr w:rsidR="004A0672" w:rsidRPr="009C7957" w14:paraId="3366A36B" w14:textId="77777777" w:rsidTr="004A0672">
        <w:trPr>
          <w:trHeight w:val="461"/>
        </w:trPr>
        <w:tc>
          <w:tcPr>
            <w:tcW w:w="3256" w:type="dxa"/>
            <w:vAlign w:val="center"/>
          </w:tcPr>
          <w:p w14:paraId="3B268626" w14:textId="77777777" w:rsidR="004A0672" w:rsidRPr="009C7957" w:rsidRDefault="004A0672" w:rsidP="00FF11E3">
            <w:pPr>
              <w:jc w:val="both"/>
              <w:rPr>
                <w:rFonts w:cs="Times New Roman"/>
                <w:sz w:val="16"/>
                <w:szCs w:val="16"/>
              </w:rPr>
            </w:pPr>
            <w:r w:rsidRPr="009C7957">
              <w:rPr>
                <w:rFonts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6" w:type="dxa"/>
            <w:vAlign w:val="center"/>
          </w:tcPr>
          <w:p w14:paraId="4FF5397E" w14:textId="77777777" w:rsidR="004A0672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268" w:type="dxa"/>
            <w:vAlign w:val="center"/>
          </w:tcPr>
          <w:p w14:paraId="0DAB80E0" w14:textId="77777777" w:rsidR="004A0672" w:rsidRPr="009C7957" w:rsidRDefault="004A0672" w:rsidP="00FF11E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92" w:type="dxa"/>
            <w:vAlign w:val="center"/>
          </w:tcPr>
          <w:p w14:paraId="077BCCA6" w14:textId="77777777" w:rsidR="004A0672" w:rsidRPr="009C7957" w:rsidRDefault="004A0672" w:rsidP="00FF11E3">
            <w:pPr>
              <w:jc w:val="center"/>
              <w:rPr>
                <w:sz w:val="16"/>
                <w:szCs w:val="16"/>
              </w:rPr>
            </w:pPr>
            <w:r w:rsidRPr="009C7957">
              <w:rPr>
                <w:sz w:val="16"/>
                <w:szCs w:val="16"/>
              </w:rPr>
              <w:t>100,0%</w:t>
            </w:r>
          </w:p>
        </w:tc>
      </w:tr>
    </w:tbl>
    <w:p w14:paraId="60A8A269" w14:textId="77777777" w:rsidR="00D30549" w:rsidRDefault="00D30549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39812AC" w14:textId="386047A0" w:rsidR="0077039B" w:rsidRPr="009C7957" w:rsidRDefault="006D3D1D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proofErr w:type="spellStart"/>
      <w:r w:rsidR="004A0672" w:rsidRPr="009C7957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9C7957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 w:rsidRPr="009C7957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9C7957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9C7957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4A0672" w:rsidRPr="009C7957">
        <w:rPr>
          <w:rFonts w:eastAsia="Times New Roman" w:cs="Times New Roman"/>
          <w:sz w:val="22"/>
          <w:lang w:eastAsia="ar-SA"/>
        </w:rPr>
        <w:t>73,8</w:t>
      </w:r>
      <w:r w:rsidR="0077039B" w:rsidRPr="009C7957">
        <w:rPr>
          <w:rFonts w:eastAsia="Times New Roman" w:cs="Times New Roman"/>
          <w:sz w:val="22"/>
          <w:lang w:eastAsia="ar-SA"/>
        </w:rPr>
        <w:t>%, налоговы</w:t>
      </w:r>
      <w:r w:rsidR="009C7957" w:rsidRPr="009C7957">
        <w:rPr>
          <w:rFonts w:eastAsia="Times New Roman" w:cs="Times New Roman"/>
          <w:sz w:val="22"/>
          <w:lang w:eastAsia="ar-SA"/>
        </w:rPr>
        <w:t>х</w:t>
      </w:r>
      <w:r w:rsidR="0077039B" w:rsidRPr="009C7957">
        <w:rPr>
          <w:rFonts w:eastAsia="Times New Roman" w:cs="Times New Roman"/>
          <w:sz w:val="22"/>
          <w:lang w:eastAsia="ar-SA"/>
        </w:rPr>
        <w:t xml:space="preserve"> доход</w:t>
      </w:r>
      <w:r w:rsidR="009C7957" w:rsidRPr="009C7957">
        <w:rPr>
          <w:rFonts w:eastAsia="Times New Roman" w:cs="Times New Roman"/>
          <w:sz w:val="22"/>
          <w:lang w:eastAsia="ar-SA"/>
        </w:rPr>
        <w:t>ов</w:t>
      </w:r>
      <w:r w:rsidR="0077039B" w:rsidRPr="009C7957">
        <w:rPr>
          <w:rFonts w:eastAsia="Times New Roman" w:cs="Times New Roman"/>
          <w:sz w:val="22"/>
          <w:lang w:eastAsia="ar-SA"/>
        </w:rPr>
        <w:t xml:space="preserve"> – </w:t>
      </w:r>
      <w:r w:rsidR="004A0672" w:rsidRPr="009C7957">
        <w:rPr>
          <w:rFonts w:eastAsia="Times New Roman" w:cs="Times New Roman"/>
          <w:sz w:val="22"/>
          <w:lang w:eastAsia="ar-SA"/>
        </w:rPr>
        <w:t>11,9</w:t>
      </w:r>
      <w:r w:rsidR="0077039B" w:rsidRPr="009C7957">
        <w:rPr>
          <w:rFonts w:eastAsia="Times New Roman" w:cs="Times New Roman"/>
          <w:sz w:val="22"/>
          <w:lang w:eastAsia="ar-SA"/>
        </w:rPr>
        <w:t>%, нена</w:t>
      </w:r>
      <w:r w:rsidR="00AF5193" w:rsidRPr="009C7957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4A0672" w:rsidRPr="009C7957">
        <w:rPr>
          <w:rFonts w:eastAsia="Times New Roman" w:cs="Times New Roman"/>
          <w:sz w:val="22"/>
          <w:lang w:eastAsia="ar-SA"/>
        </w:rPr>
        <w:t>14,3</w:t>
      </w:r>
      <w:r w:rsidR="00AF5193" w:rsidRPr="009C7957">
        <w:rPr>
          <w:rFonts w:eastAsia="Times New Roman" w:cs="Times New Roman"/>
          <w:sz w:val="22"/>
          <w:lang w:eastAsia="ar-SA"/>
        </w:rPr>
        <w:t>%.</w:t>
      </w:r>
    </w:p>
    <w:p w14:paraId="7C10F8F1" w14:textId="77777777" w:rsidR="00D54C6F" w:rsidRPr="009C7957" w:rsidRDefault="00C02FBC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4A0672" w:rsidRPr="009C7957">
        <w:rPr>
          <w:rFonts w:eastAsia="Times New Roman" w:cs="Times New Roman"/>
          <w:sz w:val="22"/>
          <w:lang w:eastAsia="ar-SA"/>
        </w:rPr>
        <w:t>2 389,1</w:t>
      </w:r>
      <w:r w:rsidRPr="009C7957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4A0672" w:rsidRPr="009C7957">
        <w:rPr>
          <w:rFonts w:eastAsia="Times New Roman" w:cs="Times New Roman"/>
          <w:sz w:val="22"/>
          <w:lang w:eastAsia="ar-SA"/>
        </w:rPr>
        <w:t>2 546,8</w:t>
      </w:r>
      <w:r w:rsidRPr="009C7957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9C7957">
        <w:rPr>
          <w:rFonts w:eastAsia="Times New Roman" w:cs="Times New Roman"/>
          <w:sz w:val="22"/>
          <w:lang w:eastAsia="ar-SA"/>
        </w:rPr>
        <w:t>Исполнение</w:t>
      </w:r>
      <w:r w:rsidRPr="009C7957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4A0672" w:rsidRPr="009C7957">
        <w:rPr>
          <w:rFonts w:eastAsia="Times New Roman" w:cs="Times New Roman"/>
          <w:sz w:val="22"/>
          <w:lang w:eastAsia="ar-SA"/>
        </w:rPr>
        <w:t>93,8</w:t>
      </w:r>
      <w:r w:rsidRPr="009C7957">
        <w:rPr>
          <w:rFonts w:eastAsia="Times New Roman" w:cs="Times New Roman"/>
          <w:sz w:val="22"/>
          <w:lang w:eastAsia="ar-SA"/>
        </w:rPr>
        <w:t xml:space="preserve">%. </w:t>
      </w:r>
    </w:p>
    <w:p w14:paraId="6C7B432E" w14:textId="18CE6260" w:rsidR="004224C1" w:rsidRPr="009C7957" w:rsidRDefault="00C02FBC" w:rsidP="009C7957">
      <w:pPr>
        <w:suppressAutoHyphens/>
        <w:spacing w:after="0" w:line="360" w:lineRule="auto"/>
        <w:ind w:firstLine="709"/>
        <w:jc w:val="both"/>
        <w:rPr>
          <w:rFonts w:cs="Times New Roman"/>
          <w:color w:val="000000"/>
          <w:sz w:val="22"/>
        </w:rPr>
      </w:pPr>
      <w:r w:rsidRPr="009C7957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9C7957">
        <w:rPr>
          <w:rFonts w:eastAsia="Times New Roman" w:cs="Times New Roman"/>
          <w:sz w:val="22"/>
          <w:lang w:eastAsia="ar-SA"/>
        </w:rPr>
        <w:t>е</w:t>
      </w:r>
      <w:r w:rsidRPr="009C7957">
        <w:rPr>
          <w:rFonts w:eastAsia="Times New Roman" w:cs="Times New Roman"/>
          <w:sz w:val="22"/>
          <w:lang w:eastAsia="ar-SA"/>
        </w:rPr>
        <w:t xml:space="preserve">т: </w:t>
      </w:r>
      <w:r w:rsidR="007551B5" w:rsidRPr="009C7957">
        <w:rPr>
          <w:color w:val="000000"/>
          <w:sz w:val="22"/>
          <w:lang w:eastAsia="ru-RU"/>
        </w:rPr>
        <w:t>Налог на имущество. Налоги на совокупный доход: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69499B" w:rsidRPr="009C7957">
        <w:rPr>
          <w:rFonts w:eastAsia="Times New Roman" w:cs="Times New Roman"/>
          <w:sz w:val="22"/>
          <w:lang w:eastAsia="ar-SA"/>
        </w:rPr>
        <w:t>52,6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тыс. руб. (</w:t>
      </w:r>
      <w:r w:rsidR="00345886" w:rsidRPr="009C7957">
        <w:rPr>
          <w:rFonts w:eastAsia="Times New Roman" w:cs="Times New Roman"/>
          <w:sz w:val="22"/>
          <w:lang w:eastAsia="ar-SA"/>
        </w:rPr>
        <w:t>4,8</w:t>
      </w:r>
      <w:r w:rsidR="007551B5" w:rsidRPr="009C7957">
        <w:rPr>
          <w:rFonts w:eastAsia="Times New Roman" w:cs="Times New Roman"/>
          <w:sz w:val="22"/>
          <w:lang w:eastAsia="ar-SA"/>
        </w:rPr>
        <w:t>%)</w:t>
      </w:r>
      <w:r w:rsidR="0069499B" w:rsidRPr="009C7957">
        <w:rPr>
          <w:rFonts w:eastAsia="Times New Roman" w:cs="Times New Roman"/>
          <w:sz w:val="22"/>
          <w:lang w:eastAsia="ar-SA"/>
        </w:rPr>
        <w:t>.</w:t>
      </w:r>
      <w:r w:rsidR="009C7957" w:rsidRPr="009C7957">
        <w:rPr>
          <w:rFonts w:eastAsia="Times New Roman" w:cs="Times New Roman"/>
          <w:sz w:val="22"/>
          <w:lang w:eastAsia="ar-SA"/>
        </w:rPr>
        <w:t xml:space="preserve"> </w:t>
      </w:r>
      <w:r w:rsidR="007551B5" w:rsidRPr="009C7957">
        <w:rPr>
          <w:color w:val="000000"/>
          <w:sz w:val="22"/>
          <w:lang w:eastAsia="ru-RU"/>
        </w:rPr>
        <w:t xml:space="preserve">Налоги на имущество: 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345886" w:rsidRPr="009C7957">
        <w:rPr>
          <w:rFonts w:eastAsia="Times New Roman" w:cs="Times New Roman"/>
          <w:sz w:val="22"/>
          <w:lang w:eastAsia="ar-SA"/>
        </w:rPr>
        <w:t>65,3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тыс. руб., </w:t>
      </w:r>
      <w:r w:rsidRPr="009C7957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345886" w:rsidRPr="009C7957">
        <w:rPr>
          <w:rFonts w:eastAsia="Times New Roman" w:cs="Times New Roman"/>
          <w:sz w:val="22"/>
          <w:lang w:eastAsia="ar-SA"/>
        </w:rPr>
        <w:t>791,5</w:t>
      </w:r>
      <w:r w:rsidR="00D54C6F" w:rsidRPr="009C7957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9C7957">
        <w:rPr>
          <w:rFonts w:eastAsia="Times New Roman" w:cs="Times New Roman"/>
          <w:sz w:val="22"/>
          <w:lang w:eastAsia="ar-SA"/>
        </w:rPr>
        <w:t xml:space="preserve"> </w:t>
      </w:r>
      <w:r w:rsidR="00D54C6F" w:rsidRPr="009C7957">
        <w:rPr>
          <w:rFonts w:eastAsia="Times New Roman" w:cs="Times New Roman"/>
          <w:sz w:val="22"/>
          <w:lang w:eastAsia="ar-SA"/>
        </w:rPr>
        <w:t>руб.</w:t>
      </w:r>
      <w:r w:rsidR="00FB53EF" w:rsidRPr="009C7957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 w:rsidRPr="009C7957">
        <w:rPr>
          <w:rFonts w:eastAsia="Times New Roman" w:cs="Times New Roman"/>
          <w:sz w:val="22"/>
          <w:lang w:eastAsia="ar-SA"/>
        </w:rPr>
        <w:t>е</w:t>
      </w:r>
      <w:r w:rsidR="00FB53EF" w:rsidRPr="009C7957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345886" w:rsidRPr="009C7957">
        <w:rPr>
          <w:rFonts w:eastAsia="Times New Roman" w:cs="Times New Roman"/>
          <w:sz w:val="22"/>
          <w:lang w:eastAsia="ar-SA"/>
        </w:rPr>
        <w:t>856,9</w:t>
      </w:r>
      <w:r w:rsidR="00FB53EF" w:rsidRPr="009C7957">
        <w:rPr>
          <w:rFonts w:eastAsia="Times New Roman" w:cs="Times New Roman"/>
          <w:sz w:val="22"/>
          <w:lang w:eastAsia="ar-SA"/>
        </w:rPr>
        <w:t xml:space="preserve"> тыс. руб. (</w:t>
      </w:r>
      <w:r w:rsidR="00345886" w:rsidRPr="009C7957">
        <w:rPr>
          <w:rFonts w:eastAsia="Times New Roman" w:cs="Times New Roman"/>
          <w:sz w:val="22"/>
          <w:lang w:eastAsia="ar-SA"/>
        </w:rPr>
        <w:t>78,8</w:t>
      </w:r>
      <w:r w:rsidR="00FB53EF" w:rsidRPr="009C7957">
        <w:rPr>
          <w:rFonts w:eastAsia="Times New Roman" w:cs="Times New Roman"/>
          <w:sz w:val="22"/>
          <w:lang w:eastAsia="ar-SA"/>
        </w:rPr>
        <w:t>%)</w:t>
      </w:r>
      <w:r w:rsidR="007551B5" w:rsidRPr="009C7957">
        <w:rPr>
          <w:rFonts w:eastAsia="Times New Roman" w:cs="Times New Roman"/>
          <w:sz w:val="22"/>
          <w:lang w:eastAsia="ar-SA"/>
        </w:rPr>
        <w:t>.</w:t>
      </w:r>
      <w:r w:rsidR="009C7957" w:rsidRPr="009C7957">
        <w:rPr>
          <w:rFonts w:eastAsia="Times New Roman" w:cs="Times New Roman"/>
          <w:sz w:val="22"/>
          <w:lang w:eastAsia="ar-SA"/>
        </w:rPr>
        <w:t xml:space="preserve"> 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Доля налога на прибыль (доходы физических лиц) составляет </w:t>
      </w:r>
      <w:r w:rsidR="00345886" w:rsidRPr="009C7957">
        <w:rPr>
          <w:rFonts w:eastAsia="Times New Roman" w:cs="Times New Roman"/>
          <w:sz w:val="22"/>
          <w:lang w:eastAsia="ar-SA"/>
        </w:rPr>
        <w:t>174,9 тыс. руб.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(</w:t>
      </w:r>
      <w:r w:rsidR="00345886" w:rsidRPr="009C7957">
        <w:rPr>
          <w:rFonts w:eastAsia="Times New Roman" w:cs="Times New Roman"/>
          <w:sz w:val="22"/>
          <w:lang w:eastAsia="ar-SA"/>
        </w:rPr>
        <w:t>16,08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), Государственная пошлина </w:t>
      </w:r>
      <w:r w:rsidR="00345886" w:rsidRPr="009C7957">
        <w:rPr>
          <w:rFonts w:eastAsia="Times New Roman" w:cs="Times New Roman"/>
          <w:sz w:val="22"/>
          <w:lang w:eastAsia="ar-SA"/>
        </w:rPr>
        <w:t>3,</w:t>
      </w:r>
      <w:r w:rsidR="009C7957" w:rsidRPr="009C7957">
        <w:rPr>
          <w:rFonts w:eastAsia="Times New Roman" w:cs="Times New Roman"/>
          <w:sz w:val="22"/>
          <w:lang w:eastAsia="ar-SA"/>
        </w:rPr>
        <w:t>5</w:t>
      </w:r>
      <w:r w:rsidR="007551B5" w:rsidRPr="009C7957">
        <w:rPr>
          <w:rFonts w:eastAsia="Times New Roman" w:cs="Times New Roman"/>
          <w:sz w:val="22"/>
          <w:lang w:eastAsia="ar-SA"/>
        </w:rPr>
        <w:t xml:space="preserve"> тыс. руб. (0,</w:t>
      </w:r>
      <w:r w:rsidR="00345886" w:rsidRPr="009C7957">
        <w:rPr>
          <w:rFonts w:eastAsia="Times New Roman" w:cs="Times New Roman"/>
          <w:sz w:val="22"/>
          <w:lang w:eastAsia="ar-SA"/>
        </w:rPr>
        <w:t>3</w:t>
      </w:r>
      <w:r w:rsidR="007551B5" w:rsidRPr="009C7957">
        <w:rPr>
          <w:rFonts w:eastAsia="Times New Roman" w:cs="Times New Roman"/>
          <w:sz w:val="22"/>
          <w:lang w:eastAsia="ar-SA"/>
        </w:rPr>
        <w:t>%)</w:t>
      </w:r>
      <w:r w:rsidR="00505C32" w:rsidRPr="009C7957">
        <w:rPr>
          <w:rFonts w:eastAsia="Times New Roman" w:cs="Times New Roman"/>
          <w:sz w:val="22"/>
          <w:lang w:eastAsia="ar-SA"/>
        </w:rPr>
        <w:t>.</w:t>
      </w:r>
    </w:p>
    <w:p w14:paraId="4FCD2CC7" w14:textId="4FE285D7" w:rsidR="00464FA8" w:rsidRPr="009C7957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 xml:space="preserve">Доходы от сдачи в аренду земельных участков поступили </w:t>
      </w:r>
      <w:r w:rsidR="009C7957" w:rsidRPr="009C7957">
        <w:rPr>
          <w:rFonts w:eastAsia="Times New Roman" w:cs="Times New Roman"/>
          <w:sz w:val="22"/>
          <w:lang w:eastAsia="ar-SA"/>
        </w:rPr>
        <w:t>с превышением плановых значений</w:t>
      </w:r>
      <w:r w:rsidRPr="009C7957">
        <w:rPr>
          <w:rFonts w:eastAsia="Times New Roman" w:cs="Times New Roman"/>
          <w:sz w:val="22"/>
          <w:lang w:eastAsia="ar-SA"/>
        </w:rPr>
        <w:t xml:space="preserve"> </w:t>
      </w:r>
      <w:r w:rsidR="008E7FB8" w:rsidRPr="009C7957">
        <w:rPr>
          <w:rFonts w:eastAsia="Times New Roman" w:cs="Times New Roman"/>
          <w:sz w:val="22"/>
          <w:lang w:eastAsia="ar-SA"/>
        </w:rPr>
        <w:t xml:space="preserve">- </w:t>
      </w:r>
      <w:r w:rsidRPr="009C7957">
        <w:rPr>
          <w:rFonts w:eastAsia="Times New Roman" w:cs="Times New Roman"/>
          <w:sz w:val="22"/>
          <w:lang w:eastAsia="ar-SA"/>
        </w:rPr>
        <w:t>10</w:t>
      </w:r>
      <w:r w:rsidR="00261184" w:rsidRPr="009C7957">
        <w:rPr>
          <w:rFonts w:eastAsia="Times New Roman" w:cs="Times New Roman"/>
          <w:sz w:val="22"/>
          <w:lang w:eastAsia="ar-SA"/>
        </w:rPr>
        <w:t>3</w:t>
      </w:r>
      <w:r w:rsidRPr="009C7957">
        <w:rPr>
          <w:rFonts w:eastAsia="Times New Roman" w:cs="Times New Roman"/>
          <w:sz w:val="22"/>
          <w:lang w:eastAsia="ar-SA"/>
        </w:rPr>
        <w:t>,</w:t>
      </w:r>
      <w:r w:rsidR="00261184" w:rsidRPr="009C7957">
        <w:rPr>
          <w:rFonts w:eastAsia="Times New Roman" w:cs="Times New Roman"/>
          <w:sz w:val="22"/>
          <w:lang w:eastAsia="ar-SA"/>
        </w:rPr>
        <w:t>4</w:t>
      </w:r>
      <w:r w:rsidRPr="009C7957">
        <w:rPr>
          <w:rFonts w:eastAsia="Times New Roman" w:cs="Times New Roman"/>
          <w:sz w:val="22"/>
          <w:lang w:eastAsia="ar-SA"/>
        </w:rPr>
        <w:t>%</w:t>
      </w:r>
      <w:r w:rsidR="00677E34" w:rsidRPr="009C7957">
        <w:rPr>
          <w:rFonts w:eastAsia="Times New Roman" w:cs="Times New Roman"/>
          <w:sz w:val="22"/>
          <w:lang w:eastAsia="ar-SA"/>
        </w:rPr>
        <w:t xml:space="preserve"> плана</w:t>
      </w:r>
      <w:r w:rsidRPr="009C7957">
        <w:rPr>
          <w:rFonts w:eastAsia="Times New Roman" w:cs="Times New Roman"/>
          <w:sz w:val="22"/>
          <w:lang w:eastAsia="ar-SA"/>
        </w:rPr>
        <w:t xml:space="preserve"> (</w:t>
      </w:r>
      <w:r w:rsidR="00261184" w:rsidRPr="009C7957">
        <w:rPr>
          <w:rFonts w:eastAsia="Times New Roman" w:cs="Times New Roman"/>
          <w:sz w:val="22"/>
          <w:lang w:eastAsia="ar-SA"/>
        </w:rPr>
        <w:t>687,4</w:t>
      </w:r>
      <w:r w:rsidRPr="009C7957">
        <w:rPr>
          <w:rFonts w:eastAsia="Times New Roman" w:cs="Times New Roman"/>
          <w:sz w:val="22"/>
          <w:lang w:eastAsia="ar-SA"/>
        </w:rPr>
        <w:t xml:space="preserve"> </w:t>
      </w:r>
      <w:r w:rsidR="00CE5A97" w:rsidRPr="009C7957">
        <w:rPr>
          <w:rFonts w:eastAsia="Times New Roman" w:cs="Times New Roman"/>
          <w:sz w:val="22"/>
          <w:lang w:eastAsia="ar-SA"/>
        </w:rPr>
        <w:t>тыс.</w:t>
      </w:r>
      <w:r w:rsidR="003A5C51" w:rsidRPr="009C7957">
        <w:rPr>
          <w:rFonts w:eastAsia="Times New Roman" w:cs="Times New Roman"/>
          <w:sz w:val="22"/>
          <w:lang w:eastAsia="ar-SA"/>
        </w:rPr>
        <w:t xml:space="preserve"> </w:t>
      </w:r>
      <w:r w:rsidR="00CE5A97" w:rsidRPr="009C7957">
        <w:rPr>
          <w:rFonts w:eastAsia="Times New Roman" w:cs="Times New Roman"/>
          <w:sz w:val="22"/>
          <w:lang w:eastAsia="ar-SA"/>
        </w:rPr>
        <w:t>р</w:t>
      </w:r>
      <w:r w:rsidRPr="009C7957">
        <w:rPr>
          <w:rFonts w:eastAsia="Times New Roman" w:cs="Times New Roman"/>
          <w:sz w:val="22"/>
          <w:lang w:eastAsia="ar-SA"/>
        </w:rPr>
        <w:t>уб</w:t>
      </w:r>
      <w:r w:rsidR="00CE5A97" w:rsidRPr="009C7957">
        <w:rPr>
          <w:rFonts w:eastAsia="Times New Roman" w:cs="Times New Roman"/>
          <w:sz w:val="22"/>
          <w:lang w:eastAsia="ar-SA"/>
        </w:rPr>
        <w:t>.</w:t>
      </w:r>
      <w:r w:rsidR="00FB53EF" w:rsidRPr="009C7957">
        <w:rPr>
          <w:rFonts w:eastAsia="Times New Roman" w:cs="Times New Roman"/>
          <w:sz w:val="22"/>
          <w:lang w:eastAsia="ar-SA"/>
        </w:rPr>
        <w:t>).</w:t>
      </w:r>
      <w:r w:rsidRPr="009C7957">
        <w:rPr>
          <w:rFonts w:eastAsia="Times New Roman" w:cs="Times New Roman"/>
          <w:sz w:val="22"/>
          <w:lang w:eastAsia="ar-SA"/>
        </w:rPr>
        <w:t xml:space="preserve"> </w:t>
      </w:r>
      <w:r w:rsidR="007551B5" w:rsidRPr="009C7957">
        <w:rPr>
          <w:color w:val="000000"/>
          <w:sz w:val="22"/>
          <w:lang w:eastAsia="ru-RU"/>
        </w:rPr>
        <w:t>Доходы от оказания платных услуг и компенсации затрат государства</w:t>
      </w:r>
      <w:r w:rsidR="003A5C51" w:rsidRPr="009C7957">
        <w:rPr>
          <w:color w:val="000000"/>
          <w:sz w:val="22"/>
          <w:lang w:eastAsia="ru-RU"/>
        </w:rPr>
        <w:t xml:space="preserve"> </w:t>
      </w:r>
      <w:r w:rsidR="00261184" w:rsidRPr="009C7957">
        <w:rPr>
          <w:color w:val="000000"/>
          <w:sz w:val="22"/>
          <w:lang w:eastAsia="ru-RU"/>
        </w:rPr>
        <w:t>поступили в объеме 249,9 тыс. руб. (99,9</w:t>
      </w:r>
      <w:r w:rsidR="00D35345" w:rsidRPr="009C7957">
        <w:rPr>
          <w:color w:val="000000"/>
          <w:sz w:val="22"/>
          <w:lang w:eastAsia="ru-RU"/>
        </w:rPr>
        <w:t>9</w:t>
      </w:r>
      <w:r w:rsidR="00261184" w:rsidRPr="009C7957">
        <w:rPr>
          <w:color w:val="000000"/>
          <w:sz w:val="22"/>
          <w:lang w:eastAsia="ru-RU"/>
        </w:rPr>
        <w:t>%)</w:t>
      </w:r>
      <w:r w:rsidR="003A5C51" w:rsidRPr="009C7957">
        <w:rPr>
          <w:color w:val="000000"/>
          <w:sz w:val="22"/>
          <w:lang w:eastAsia="ru-RU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261184" w:rsidRPr="009C7957">
        <w:rPr>
          <w:color w:val="000000"/>
          <w:sz w:val="22"/>
          <w:lang w:eastAsia="ru-RU"/>
        </w:rPr>
        <w:t xml:space="preserve"> поступили в полном объеме – </w:t>
      </w:r>
      <w:r w:rsidR="00D35345" w:rsidRPr="009C7957">
        <w:rPr>
          <w:color w:val="000000"/>
          <w:sz w:val="22"/>
          <w:lang w:eastAsia="ru-RU"/>
        </w:rPr>
        <w:t>43,9</w:t>
      </w:r>
      <w:r w:rsidR="00261184" w:rsidRPr="009C7957">
        <w:rPr>
          <w:color w:val="000000"/>
          <w:sz w:val="22"/>
          <w:lang w:eastAsia="ru-RU"/>
        </w:rPr>
        <w:t xml:space="preserve"> тыс. руб. (100,0</w:t>
      </w:r>
      <w:r w:rsidR="00D35345" w:rsidRPr="009C7957">
        <w:rPr>
          <w:color w:val="000000"/>
          <w:sz w:val="22"/>
          <w:lang w:eastAsia="ru-RU"/>
        </w:rPr>
        <w:t>4</w:t>
      </w:r>
      <w:r w:rsidR="00261184" w:rsidRPr="009C7957">
        <w:rPr>
          <w:color w:val="000000"/>
          <w:sz w:val="22"/>
          <w:lang w:eastAsia="ru-RU"/>
        </w:rPr>
        <w:t>%)</w:t>
      </w:r>
      <w:r w:rsidR="00666D96" w:rsidRPr="009C7957">
        <w:rPr>
          <w:color w:val="000000"/>
          <w:sz w:val="22"/>
          <w:lang w:eastAsia="ru-RU"/>
        </w:rPr>
        <w:t>.</w:t>
      </w:r>
      <w:r w:rsidR="003A5C51" w:rsidRPr="009C7957">
        <w:rPr>
          <w:color w:val="000000"/>
          <w:sz w:val="22"/>
          <w:lang w:eastAsia="ru-RU"/>
        </w:rPr>
        <w:t xml:space="preserve"> Прочие неналоговые доходы – </w:t>
      </w:r>
      <w:r w:rsidR="00D35345" w:rsidRPr="009C7957">
        <w:rPr>
          <w:color w:val="000000"/>
          <w:sz w:val="22"/>
          <w:lang w:eastAsia="ru-RU"/>
        </w:rPr>
        <w:t>320,0</w:t>
      </w:r>
      <w:r w:rsidR="003A5C51" w:rsidRPr="009C7957">
        <w:rPr>
          <w:color w:val="000000"/>
          <w:sz w:val="22"/>
          <w:lang w:eastAsia="ru-RU"/>
        </w:rPr>
        <w:t xml:space="preserve"> тыс. руб.</w:t>
      </w:r>
      <w:r w:rsidR="00D35345" w:rsidRPr="009C7957">
        <w:rPr>
          <w:color w:val="000000"/>
          <w:sz w:val="22"/>
          <w:lang w:eastAsia="ru-RU"/>
        </w:rPr>
        <w:t xml:space="preserve"> (100,0%). </w:t>
      </w:r>
    </w:p>
    <w:p w14:paraId="0D3BABE2" w14:textId="77777777" w:rsidR="00C02FBC" w:rsidRPr="009C7957" w:rsidRDefault="00715744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>Удельный вес каждого вида неналогов</w:t>
      </w:r>
      <w:r w:rsidR="004224C1" w:rsidRPr="009C7957">
        <w:rPr>
          <w:rFonts w:eastAsia="Times New Roman" w:cs="Times New Roman"/>
          <w:sz w:val="22"/>
          <w:lang w:eastAsia="ar-SA"/>
        </w:rPr>
        <w:t>ых</w:t>
      </w:r>
      <w:r w:rsidRPr="009C7957">
        <w:rPr>
          <w:rFonts w:eastAsia="Times New Roman" w:cs="Times New Roman"/>
          <w:sz w:val="22"/>
          <w:lang w:eastAsia="ar-SA"/>
        </w:rPr>
        <w:t xml:space="preserve"> доход</w:t>
      </w:r>
      <w:r w:rsidR="004224C1" w:rsidRPr="009C7957">
        <w:rPr>
          <w:rFonts w:eastAsia="Times New Roman" w:cs="Times New Roman"/>
          <w:sz w:val="22"/>
          <w:lang w:eastAsia="ar-SA"/>
        </w:rPr>
        <w:t>ов</w:t>
      </w:r>
      <w:r w:rsidRPr="009C7957">
        <w:rPr>
          <w:rFonts w:eastAsia="Times New Roman" w:cs="Times New Roman"/>
          <w:sz w:val="22"/>
          <w:lang w:eastAsia="ar-SA"/>
        </w:rPr>
        <w:t xml:space="preserve"> в общем объеме неналоговых доходов представлен в таблице:</w:t>
      </w:r>
    </w:p>
    <w:tbl>
      <w:tblPr>
        <w:tblStyle w:val="a8"/>
        <w:tblW w:w="8412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892"/>
      </w:tblGrid>
      <w:tr w:rsidR="00715744" w:rsidRPr="009C7957" w14:paraId="7F5850E7" w14:textId="77777777" w:rsidTr="00B72D65">
        <w:tc>
          <w:tcPr>
            <w:tcW w:w="4252" w:type="dxa"/>
          </w:tcPr>
          <w:p w14:paraId="453DAB8F" w14:textId="77777777" w:rsidR="00715744" w:rsidRPr="009C7957" w:rsidRDefault="00715744" w:rsidP="00B72D65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EB581A" w14:textId="77777777" w:rsidR="00715744" w:rsidRPr="009C7957" w:rsidRDefault="00715744" w:rsidP="00B72D6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</w:tcPr>
          <w:p w14:paraId="049FBE68" w14:textId="77777777" w:rsidR="00715744" w:rsidRPr="009C7957" w:rsidRDefault="00715744" w:rsidP="00B72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Удельный вес в объеме неналоговых доходов, %</w:t>
            </w:r>
          </w:p>
        </w:tc>
      </w:tr>
      <w:tr w:rsidR="00715744" w:rsidRPr="009C7957" w14:paraId="6A65F3A4" w14:textId="77777777" w:rsidTr="00B72D65">
        <w:tc>
          <w:tcPr>
            <w:tcW w:w="4252" w:type="dxa"/>
            <w:vAlign w:val="center"/>
          </w:tcPr>
          <w:p w14:paraId="7A24A5CD" w14:textId="77777777" w:rsidR="00715744" w:rsidRPr="009C7957" w:rsidRDefault="00715744" w:rsidP="00B72D65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268" w:type="dxa"/>
            <w:vAlign w:val="center"/>
          </w:tcPr>
          <w:p w14:paraId="6AF99B49" w14:textId="77777777" w:rsidR="00715744" w:rsidRPr="009C7957" w:rsidRDefault="00D35345" w:rsidP="00B72D6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i/>
                <w:iCs/>
                <w:color w:val="000000"/>
                <w:sz w:val="16"/>
                <w:szCs w:val="16"/>
              </w:rPr>
              <w:t>1 301,2</w:t>
            </w:r>
          </w:p>
        </w:tc>
        <w:tc>
          <w:tcPr>
            <w:tcW w:w="1892" w:type="dxa"/>
            <w:vAlign w:val="center"/>
          </w:tcPr>
          <w:p w14:paraId="04C73C6E" w14:textId="77777777" w:rsidR="00715744" w:rsidRPr="009C7957" w:rsidRDefault="00715744" w:rsidP="00B72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D96" w:rsidRPr="009C7957" w14:paraId="7A6926C2" w14:textId="77777777" w:rsidTr="00B72D65">
        <w:tc>
          <w:tcPr>
            <w:tcW w:w="4252" w:type="dxa"/>
          </w:tcPr>
          <w:p w14:paraId="6440D6CF" w14:textId="77777777" w:rsidR="00666D96" w:rsidRPr="009C7957" w:rsidRDefault="00666D96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bottom"/>
          </w:tcPr>
          <w:p w14:paraId="267DA32F" w14:textId="77777777" w:rsidR="00666D96" w:rsidRPr="009C7957" w:rsidRDefault="00D35345" w:rsidP="00666D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687,4</w:t>
            </w:r>
          </w:p>
        </w:tc>
        <w:tc>
          <w:tcPr>
            <w:tcW w:w="1892" w:type="dxa"/>
            <w:vAlign w:val="bottom"/>
          </w:tcPr>
          <w:p w14:paraId="3CEA0FB3" w14:textId="77777777" w:rsidR="00666D96" w:rsidRPr="009C7957" w:rsidRDefault="00D35345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52,8</w:t>
            </w:r>
            <w:r w:rsidR="00666D96" w:rsidRPr="009C7957">
              <w:rPr>
                <w:color w:val="000000"/>
                <w:sz w:val="16"/>
                <w:szCs w:val="16"/>
              </w:rPr>
              <w:t>%</w:t>
            </w:r>
          </w:p>
        </w:tc>
      </w:tr>
      <w:tr w:rsidR="00D35345" w:rsidRPr="009C7957" w14:paraId="5513DEAB" w14:textId="77777777" w:rsidTr="00B72D65">
        <w:tc>
          <w:tcPr>
            <w:tcW w:w="4252" w:type="dxa"/>
          </w:tcPr>
          <w:p w14:paraId="2F00CD6C" w14:textId="77777777" w:rsidR="00D35345" w:rsidRPr="009C7957" w:rsidRDefault="00D35345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vAlign w:val="bottom"/>
          </w:tcPr>
          <w:p w14:paraId="4CD58645" w14:textId="77777777" w:rsidR="00D35345" w:rsidRPr="009C7957" w:rsidRDefault="00D35345" w:rsidP="003F511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1892" w:type="dxa"/>
            <w:vAlign w:val="bottom"/>
          </w:tcPr>
          <w:p w14:paraId="368CDD55" w14:textId="77777777" w:rsidR="00D35345" w:rsidRPr="009C7957" w:rsidRDefault="00D35345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19,2%</w:t>
            </w:r>
          </w:p>
        </w:tc>
      </w:tr>
      <w:tr w:rsidR="00D35345" w:rsidRPr="009C7957" w14:paraId="4AC8149F" w14:textId="77777777" w:rsidTr="00B72D65">
        <w:tc>
          <w:tcPr>
            <w:tcW w:w="4252" w:type="dxa"/>
          </w:tcPr>
          <w:p w14:paraId="76522953" w14:textId="77777777" w:rsidR="00D35345" w:rsidRPr="009C7957" w:rsidRDefault="00D35345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bottom"/>
          </w:tcPr>
          <w:p w14:paraId="490841E0" w14:textId="77777777" w:rsidR="00D35345" w:rsidRPr="009C7957" w:rsidRDefault="00D35345" w:rsidP="003F511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892" w:type="dxa"/>
            <w:vAlign w:val="bottom"/>
          </w:tcPr>
          <w:p w14:paraId="5CD3F76E" w14:textId="77777777" w:rsidR="00D35345" w:rsidRPr="009C7957" w:rsidRDefault="00D35345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3,4%</w:t>
            </w:r>
          </w:p>
        </w:tc>
      </w:tr>
      <w:tr w:rsidR="00D35345" w:rsidRPr="009C7957" w14:paraId="369768E1" w14:textId="77777777" w:rsidTr="00B72D65">
        <w:tc>
          <w:tcPr>
            <w:tcW w:w="4252" w:type="dxa"/>
            <w:vAlign w:val="center"/>
          </w:tcPr>
          <w:p w14:paraId="78CBF38C" w14:textId="77777777" w:rsidR="00D35345" w:rsidRPr="009C7957" w:rsidRDefault="00D35345" w:rsidP="00666D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bottom"/>
          </w:tcPr>
          <w:p w14:paraId="434B2F41" w14:textId="77777777" w:rsidR="00D35345" w:rsidRPr="009C7957" w:rsidRDefault="00D35345" w:rsidP="003F511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892" w:type="dxa"/>
            <w:vAlign w:val="bottom"/>
          </w:tcPr>
          <w:p w14:paraId="3660B1F2" w14:textId="77777777" w:rsidR="00D35345" w:rsidRPr="009C7957" w:rsidRDefault="00D35345" w:rsidP="00666D96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24,6%</w:t>
            </w:r>
          </w:p>
        </w:tc>
      </w:tr>
    </w:tbl>
    <w:p w14:paraId="699F6304" w14:textId="77777777" w:rsidR="00B3043E" w:rsidRPr="009C7957" w:rsidRDefault="00B3043E" w:rsidP="00B3043E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5D575F"/>
          <w:sz w:val="22"/>
        </w:rPr>
      </w:pPr>
    </w:p>
    <w:p w14:paraId="664ED200" w14:textId="77777777" w:rsidR="007A39EA" w:rsidRDefault="00B3043E" w:rsidP="00B30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Перевыполнение плана по неналоговым доходам сложились по следующим причинам: прочие поступления от использования имущества - взыскана просроченная задолженность за социальный </w:t>
      </w:r>
    </w:p>
    <w:p w14:paraId="0F27E529" w14:textId="77777777" w:rsidR="007A39EA" w:rsidRDefault="007A39EA" w:rsidP="007A39E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</w:p>
    <w:p w14:paraId="22A68425" w14:textId="75193424" w:rsidR="00B3043E" w:rsidRPr="009C7957" w:rsidRDefault="00B3043E" w:rsidP="00D305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найм жилья. Невыполнение плана по налоговым доходам сложились по следующим причинам: налог на доходы физических лиц - в полном объеме не произведена оплата организациями, зарегистрированными на территории сельсовета; единый сельскохозяйственный налог - низкие показатели по урожайности и надою молока; налог на имущество физических лиц – отсутствие оплат от налогоплательщиков поселения; земельный налог – отсутствие  фактического проживания плательщиков налогов на территории поселения</w:t>
      </w:r>
      <w:r w:rsidR="009C7957" w:rsidRPr="009C7957">
        <w:rPr>
          <w:rFonts w:cs="Times New Roman"/>
          <w:sz w:val="22"/>
        </w:rPr>
        <w:t>,</w:t>
      </w:r>
      <w:r w:rsidRPr="009C7957">
        <w:rPr>
          <w:rFonts w:cs="Times New Roman"/>
          <w:sz w:val="22"/>
        </w:rPr>
        <w:t xml:space="preserve"> </w:t>
      </w:r>
      <w:r w:rsidR="009C7957" w:rsidRPr="009C7957">
        <w:rPr>
          <w:rFonts w:cs="Times New Roman"/>
          <w:sz w:val="22"/>
        </w:rPr>
        <w:t>з</w:t>
      </w:r>
      <w:r w:rsidRPr="009C7957">
        <w:rPr>
          <w:rFonts w:cs="Times New Roman"/>
          <w:sz w:val="22"/>
        </w:rPr>
        <w:t xml:space="preserve">ачет переплат по налогам периода 2021 года в счет оплат налогового периода 2022 года. </w:t>
      </w:r>
    </w:p>
    <w:p w14:paraId="6928444C" w14:textId="77777777" w:rsidR="00B164F1" w:rsidRPr="009C7957" w:rsidRDefault="004224C1" w:rsidP="00B164F1">
      <w:pPr>
        <w:spacing w:line="360" w:lineRule="auto"/>
        <w:ind w:firstLine="567"/>
        <w:jc w:val="both"/>
        <w:rPr>
          <w:sz w:val="22"/>
        </w:rPr>
      </w:pPr>
      <w:r w:rsidRPr="009C7957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D35345" w:rsidRPr="009C7957">
        <w:rPr>
          <w:rFonts w:eastAsia="Times New Roman" w:cs="Times New Roman"/>
          <w:sz w:val="22"/>
          <w:lang w:eastAsia="ar-SA"/>
        </w:rPr>
        <w:t>6 733,0</w:t>
      </w:r>
      <w:r w:rsidRPr="009C7957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D35345" w:rsidRPr="009C7957">
        <w:rPr>
          <w:rFonts w:eastAsia="Times New Roman" w:cs="Times New Roman"/>
          <w:sz w:val="22"/>
          <w:lang w:eastAsia="ar-SA"/>
        </w:rPr>
        <w:t>99,99</w:t>
      </w:r>
      <w:r w:rsidRPr="009C7957">
        <w:rPr>
          <w:rFonts w:eastAsia="Times New Roman" w:cs="Times New Roman"/>
          <w:sz w:val="22"/>
          <w:lang w:eastAsia="ar-SA"/>
        </w:rPr>
        <w:t xml:space="preserve">%. 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Структура безвозмездных поступлений сложилась из: </w:t>
      </w:r>
      <w:r w:rsidR="00672286" w:rsidRPr="009C7957">
        <w:rPr>
          <w:rFonts w:eastAsia="Times New Roman" w:cs="Times New Roman"/>
          <w:sz w:val="22"/>
          <w:lang w:eastAsia="ar-SA"/>
        </w:rPr>
        <w:t>д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отаций бюджетам сельских поселений на выравнивание бюджетной обеспеченности из бюджетов муниципальных районов, </w:t>
      </w:r>
      <w:r w:rsidR="00672286" w:rsidRPr="009C7957">
        <w:rPr>
          <w:rFonts w:eastAsia="Times New Roman" w:cs="Times New Roman"/>
          <w:sz w:val="22"/>
          <w:lang w:eastAsia="ar-SA"/>
        </w:rPr>
        <w:t>п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рочих субсидий бюджетам сельских поселений, </w:t>
      </w:r>
      <w:r w:rsidR="00672286" w:rsidRPr="009C7957">
        <w:rPr>
          <w:rFonts w:eastAsia="Times New Roman" w:cs="Times New Roman"/>
          <w:sz w:val="22"/>
          <w:lang w:eastAsia="ar-SA"/>
        </w:rPr>
        <w:t>с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убвенций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округов, </w:t>
      </w:r>
      <w:r w:rsidR="00672286" w:rsidRPr="009C7957">
        <w:rPr>
          <w:rFonts w:eastAsia="Times New Roman" w:cs="Times New Roman"/>
          <w:sz w:val="22"/>
          <w:lang w:eastAsia="ar-SA"/>
        </w:rPr>
        <w:t>м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="00672286" w:rsidRPr="009C7957">
        <w:rPr>
          <w:rFonts w:eastAsia="Times New Roman" w:cs="Times New Roman"/>
          <w:sz w:val="22"/>
          <w:lang w:eastAsia="ar-SA"/>
        </w:rPr>
        <w:t>п</w:t>
      </w:r>
      <w:r w:rsidR="00D35345" w:rsidRPr="009C7957">
        <w:rPr>
          <w:rFonts w:eastAsia="Times New Roman" w:cs="Times New Roman"/>
          <w:sz w:val="22"/>
          <w:lang w:eastAsia="ar-SA"/>
        </w:rPr>
        <w:t xml:space="preserve">рочих межбюджетных трансфертов, передаваемых бюджетам сельских поселений, </w:t>
      </w:r>
      <w:r w:rsidR="00672286" w:rsidRPr="009C7957">
        <w:rPr>
          <w:rFonts w:eastAsia="Times New Roman" w:cs="Times New Roman"/>
          <w:sz w:val="22"/>
          <w:lang w:eastAsia="ar-SA"/>
        </w:rPr>
        <w:t>п</w:t>
      </w:r>
      <w:r w:rsidR="00D35345" w:rsidRPr="009C7957">
        <w:rPr>
          <w:rFonts w:eastAsia="Times New Roman" w:cs="Times New Roman"/>
          <w:sz w:val="22"/>
          <w:lang w:eastAsia="ar-SA"/>
        </w:rPr>
        <w:t>рочих безвозмездных поступлений от негосударственных организаций в бюджеты сельских поселений.</w:t>
      </w:r>
    </w:p>
    <w:p w14:paraId="1820FD06" w14:textId="77777777" w:rsidR="00460026" w:rsidRPr="009C7957" w:rsidRDefault="00047208" w:rsidP="00047208">
      <w:pPr>
        <w:spacing w:line="360" w:lineRule="auto"/>
        <w:jc w:val="both"/>
        <w:rPr>
          <w:b/>
          <w:bCs/>
          <w:sz w:val="22"/>
        </w:rPr>
      </w:pPr>
      <w:r w:rsidRPr="009C7957">
        <w:rPr>
          <w:b/>
          <w:bCs/>
          <w:sz w:val="22"/>
        </w:rPr>
        <w:t xml:space="preserve"> </w:t>
      </w:r>
      <w:r w:rsidR="00460026" w:rsidRPr="009C7957">
        <w:rPr>
          <w:b/>
          <w:bCs/>
          <w:sz w:val="22"/>
        </w:rPr>
        <w:t>Исполнение бюджета по расходам</w:t>
      </w:r>
    </w:p>
    <w:p w14:paraId="4497813B" w14:textId="3A0A2160" w:rsidR="00F87847" w:rsidRPr="009C7957" w:rsidRDefault="00F87847" w:rsidP="00F87847">
      <w:pPr>
        <w:spacing w:line="360" w:lineRule="auto"/>
        <w:ind w:firstLine="425"/>
        <w:jc w:val="both"/>
        <w:rPr>
          <w:sz w:val="22"/>
        </w:rPr>
      </w:pPr>
      <w:r w:rsidRPr="009C7957">
        <w:rPr>
          <w:sz w:val="22"/>
        </w:rPr>
        <w:t xml:space="preserve">Расходная часть </w:t>
      </w:r>
      <w:r w:rsidR="005C0C70" w:rsidRPr="009C7957">
        <w:rPr>
          <w:sz w:val="22"/>
        </w:rPr>
        <w:t xml:space="preserve">исполнения </w:t>
      </w:r>
      <w:r w:rsidRPr="009C7957">
        <w:rPr>
          <w:sz w:val="22"/>
        </w:rPr>
        <w:t xml:space="preserve">бюджета поселения за 2022 год составила </w:t>
      </w:r>
      <w:r w:rsidR="009C7957" w:rsidRPr="009C7957">
        <w:rPr>
          <w:sz w:val="22"/>
        </w:rPr>
        <w:t>9 100,9</w:t>
      </w:r>
      <w:r w:rsidRPr="009C7957">
        <w:rPr>
          <w:sz w:val="22"/>
        </w:rPr>
        <w:t xml:space="preserve"> тыс.</w:t>
      </w:r>
      <w:r w:rsidR="005C0C70" w:rsidRPr="009C7957">
        <w:rPr>
          <w:sz w:val="22"/>
        </w:rPr>
        <w:t xml:space="preserve"> </w:t>
      </w:r>
      <w:r w:rsidRPr="009C7957">
        <w:rPr>
          <w:sz w:val="22"/>
        </w:rPr>
        <w:t>руб., что составило 9</w:t>
      </w:r>
      <w:r w:rsidR="001345C4" w:rsidRPr="009C7957">
        <w:rPr>
          <w:sz w:val="22"/>
        </w:rPr>
        <w:t>4</w:t>
      </w:r>
      <w:r w:rsidRPr="009C7957">
        <w:rPr>
          <w:sz w:val="22"/>
        </w:rPr>
        <w:t>,</w:t>
      </w:r>
      <w:r w:rsidR="001345C4" w:rsidRPr="009C7957">
        <w:rPr>
          <w:sz w:val="22"/>
        </w:rPr>
        <w:t>9</w:t>
      </w:r>
      <w:r w:rsidRPr="009C7957">
        <w:rPr>
          <w:sz w:val="22"/>
        </w:rPr>
        <w:t xml:space="preserve">% планового показателя. При этом </w:t>
      </w:r>
      <w:r w:rsidR="003859C6" w:rsidRPr="009C7957">
        <w:rPr>
          <w:sz w:val="22"/>
        </w:rPr>
        <w:t>01 «</w:t>
      </w:r>
      <w:r w:rsidRPr="009C7957">
        <w:rPr>
          <w:sz w:val="22"/>
        </w:rPr>
        <w:t>Общегосударственные вопросы</w:t>
      </w:r>
      <w:r w:rsidR="003859C6" w:rsidRPr="009C7957">
        <w:rPr>
          <w:sz w:val="22"/>
        </w:rPr>
        <w:t>»</w:t>
      </w:r>
      <w:r w:rsidRPr="009C7957">
        <w:rPr>
          <w:sz w:val="22"/>
        </w:rPr>
        <w:t xml:space="preserve"> исполнены на </w:t>
      </w:r>
      <w:r w:rsidR="005C0C70" w:rsidRPr="009C7957">
        <w:rPr>
          <w:sz w:val="22"/>
        </w:rPr>
        <w:t>99,6</w:t>
      </w:r>
      <w:r w:rsidRPr="009C7957">
        <w:rPr>
          <w:sz w:val="22"/>
        </w:rPr>
        <w:t xml:space="preserve">%, </w:t>
      </w:r>
      <w:r w:rsidR="003859C6" w:rsidRPr="009C7957">
        <w:rPr>
          <w:sz w:val="22"/>
        </w:rPr>
        <w:t>02 «</w:t>
      </w:r>
      <w:r w:rsidRPr="009C7957">
        <w:rPr>
          <w:sz w:val="22"/>
        </w:rPr>
        <w:t>Национальная оборона</w:t>
      </w:r>
      <w:r w:rsidR="003859C6" w:rsidRPr="009C7957">
        <w:rPr>
          <w:sz w:val="22"/>
        </w:rPr>
        <w:t>»</w:t>
      </w:r>
      <w:r w:rsidRPr="009C7957">
        <w:rPr>
          <w:sz w:val="22"/>
        </w:rPr>
        <w:t xml:space="preserve"> – на 100%, </w:t>
      </w:r>
      <w:r w:rsidR="003859C6" w:rsidRPr="009C7957">
        <w:rPr>
          <w:sz w:val="22"/>
        </w:rPr>
        <w:t>04 «</w:t>
      </w:r>
      <w:r w:rsidRPr="009C7957">
        <w:rPr>
          <w:sz w:val="22"/>
        </w:rPr>
        <w:t>Национальная экономика</w:t>
      </w:r>
      <w:r w:rsidR="003859C6" w:rsidRPr="009C7957">
        <w:rPr>
          <w:sz w:val="22"/>
        </w:rPr>
        <w:t>»</w:t>
      </w:r>
      <w:r w:rsidRPr="009C7957">
        <w:rPr>
          <w:sz w:val="22"/>
        </w:rPr>
        <w:t xml:space="preserve"> – на </w:t>
      </w:r>
      <w:r w:rsidR="001345C4" w:rsidRPr="009C7957">
        <w:rPr>
          <w:sz w:val="22"/>
        </w:rPr>
        <w:t>48,3</w:t>
      </w:r>
      <w:r w:rsidRPr="009C7957">
        <w:rPr>
          <w:sz w:val="22"/>
        </w:rPr>
        <w:t xml:space="preserve">%, </w:t>
      </w:r>
      <w:r w:rsidR="003859C6" w:rsidRPr="009C7957">
        <w:rPr>
          <w:sz w:val="22"/>
        </w:rPr>
        <w:t>05 «</w:t>
      </w:r>
      <w:r w:rsidRPr="009C7957">
        <w:rPr>
          <w:sz w:val="22"/>
        </w:rPr>
        <w:t>Жилищно-коммунальное хозяйство</w:t>
      </w:r>
      <w:r w:rsidR="003859C6" w:rsidRPr="009C7957">
        <w:rPr>
          <w:sz w:val="22"/>
        </w:rPr>
        <w:t>»</w:t>
      </w:r>
      <w:r w:rsidRPr="009C7957">
        <w:rPr>
          <w:sz w:val="22"/>
        </w:rPr>
        <w:t xml:space="preserve"> – </w:t>
      </w:r>
      <w:r w:rsidR="00E52493" w:rsidRPr="009C7957">
        <w:rPr>
          <w:sz w:val="22"/>
        </w:rPr>
        <w:t xml:space="preserve">на </w:t>
      </w:r>
      <w:r w:rsidR="005C0C70" w:rsidRPr="009C7957">
        <w:rPr>
          <w:sz w:val="22"/>
        </w:rPr>
        <w:t>9</w:t>
      </w:r>
      <w:r w:rsidR="001345C4" w:rsidRPr="009C7957">
        <w:rPr>
          <w:sz w:val="22"/>
        </w:rPr>
        <w:t>9</w:t>
      </w:r>
      <w:r w:rsidR="005C0C70" w:rsidRPr="009C7957">
        <w:rPr>
          <w:sz w:val="22"/>
        </w:rPr>
        <w:t>,</w:t>
      </w:r>
      <w:r w:rsidR="001345C4" w:rsidRPr="009C7957">
        <w:rPr>
          <w:sz w:val="22"/>
        </w:rPr>
        <w:t>9</w:t>
      </w:r>
      <w:r w:rsidRPr="009C7957">
        <w:rPr>
          <w:sz w:val="22"/>
        </w:rPr>
        <w:t xml:space="preserve">%, </w:t>
      </w:r>
      <w:r w:rsidR="003859C6" w:rsidRPr="009C7957">
        <w:rPr>
          <w:sz w:val="22"/>
        </w:rPr>
        <w:t>08 «</w:t>
      </w:r>
      <w:r w:rsidRPr="009C7957">
        <w:rPr>
          <w:sz w:val="22"/>
        </w:rPr>
        <w:t>Культура, кинематография</w:t>
      </w:r>
      <w:r w:rsidR="003859C6" w:rsidRPr="009C7957">
        <w:rPr>
          <w:sz w:val="22"/>
        </w:rPr>
        <w:t>»</w:t>
      </w:r>
      <w:r w:rsidRPr="009C7957">
        <w:rPr>
          <w:sz w:val="22"/>
        </w:rPr>
        <w:t xml:space="preserve"> – </w:t>
      </w:r>
      <w:r w:rsidR="00E52493" w:rsidRPr="009C7957">
        <w:rPr>
          <w:sz w:val="22"/>
        </w:rPr>
        <w:t xml:space="preserve">на </w:t>
      </w:r>
      <w:r w:rsidR="005C0C70" w:rsidRPr="009C7957">
        <w:rPr>
          <w:sz w:val="22"/>
        </w:rPr>
        <w:t>9</w:t>
      </w:r>
      <w:r w:rsidR="001345C4" w:rsidRPr="009C7957">
        <w:rPr>
          <w:sz w:val="22"/>
        </w:rPr>
        <w:t>6,0%</w:t>
      </w:r>
      <w:r w:rsidR="009C7957" w:rsidRPr="009C7957">
        <w:rPr>
          <w:sz w:val="22"/>
        </w:rPr>
        <w:t>, 11 «Физическая культура и спорт» - на 97,98%.</w:t>
      </w:r>
    </w:p>
    <w:tbl>
      <w:tblPr>
        <w:tblStyle w:val="a8"/>
        <w:tblW w:w="8505" w:type="dxa"/>
        <w:tblInd w:w="959" w:type="dxa"/>
        <w:tblLook w:val="04A0" w:firstRow="1" w:lastRow="0" w:firstColumn="1" w:lastColumn="0" w:noHBand="0" w:noVBand="1"/>
      </w:tblPr>
      <w:tblGrid>
        <w:gridCol w:w="4252"/>
        <w:gridCol w:w="2268"/>
        <w:gridCol w:w="1985"/>
      </w:tblGrid>
      <w:tr w:rsidR="005C0C70" w:rsidRPr="009C7957" w14:paraId="00A7ACDA" w14:textId="77777777" w:rsidTr="005C0C70">
        <w:tc>
          <w:tcPr>
            <w:tcW w:w="4252" w:type="dxa"/>
            <w:vAlign w:val="center"/>
          </w:tcPr>
          <w:p w14:paraId="03459B2A" w14:textId="77777777" w:rsidR="005C0C70" w:rsidRPr="009C7957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14:paraId="205E4EDC" w14:textId="77777777" w:rsidR="005C0C70" w:rsidRPr="009C7957" w:rsidRDefault="005C0C70" w:rsidP="008B3D96">
            <w:pPr>
              <w:spacing w:line="36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985" w:type="dxa"/>
            <w:vAlign w:val="center"/>
          </w:tcPr>
          <w:p w14:paraId="5D041508" w14:textId="77777777" w:rsidR="005C0C70" w:rsidRPr="009C7957" w:rsidRDefault="005C0C70" w:rsidP="00404CC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C7957">
              <w:rPr>
                <w:color w:val="000000"/>
                <w:sz w:val="16"/>
                <w:szCs w:val="16"/>
              </w:rPr>
              <w:t>Удельный вес в объеме расходов, %</w:t>
            </w:r>
          </w:p>
        </w:tc>
      </w:tr>
      <w:tr w:rsidR="005A0845" w:rsidRPr="009C7957" w14:paraId="51AEB46A" w14:textId="77777777" w:rsidTr="005C0C70">
        <w:tc>
          <w:tcPr>
            <w:tcW w:w="4252" w:type="dxa"/>
            <w:vAlign w:val="center"/>
          </w:tcPr>
          <w:p w14:paraId="3B9ECB9C" w14:textId="77777777" w:rsidR="005A0845" w:rsidRPr="009C7957" w:rsidRDefault="005A0845" w:rsidP="005A084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7957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268" w:type="dxa"/>
            <w:vAlign w:val="center"/>
          </w:tcPr>
          <w:p w14:paraId="55F60427" w14:textId="77777777" w:rsidR="005A0845" w:rsidRPr="009C7957" w:rsidRDefault="00B3043E" w:rsidP="005A08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7957">
              <w:rPr>
                <w:b/>
                <w:bCs/>
                <w:color w:val="000000"/>
                <w:sz w:val="16"/>
                <w:szCs w:val="16"/>
              </w:rPr>
              <w:t>9 100,9</w:t>
            </w:r>
          </w:p>
        </w:tc>
        <w:tc>
          <w:tcPr>
            <w:tcW w:w="1985" w:type="dxa"/>
          </w:tcPr>
          <w:p w14:paraId="5A0A215C" w14:textId="77777777" w:rsidR="005A0845" w:rsidRPr="009C7957" w:rsidRDefault="005A0845" w:rsidP="005A08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043E" w:rsidRPr="009C7957" w14:paraId="7B4268A7" w14:textId="77777777" w:rsidTr="005C0C70">
        <w:tc>
          <w:tcPr>
            <w:tcW w:w="4252" w:type="dxa"/>
            <w:vAlign w:val="center"/>
          </w:tcPr>
          <w:p w14:paraId="364C3939" w14:textId="77777777" w:rsidR="00B3043E" w:rsidRPr="009C7957" w:rsidRDefault="00B3043E" w:rsidP="003F5112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268" w:type="dxa"/>
            <w:vAlign w:val="center"/>
          </w:tcPr>
          <w:p w14:paraId="253C1D12" w14:textId="77777777" w:rsidR="00B3043E" w:rsidRPr="009C7957" w:rsidRDefault="00B3043E" w:rsidP="003F51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2 952,1</w:t>
            </w:r>
          </w:p>
        </w:tc>
        <w:tc>
          <w:tcPr>
            <w:tcW w:w="1985" w:type="dxa"/>
          </w:tcPr>
          <w:p w14:paraId="0E33FB75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32,4%</w:t>
            </w:r>
          </w:p>
        </w:tc>
      </w:tr>
      <w:tr w:rsidR="00B3043E" w:rsidRPr="009C7957" w14:paraId="0044F812" w14:textId="77777777" w:rsidTr="005C0C70">
        <w:tc>
          <w:tcPr>
            <w:tcW w:w="4252" w:type="dxa"/>
            <w:vAlign w:val="center"/>
          </w:tcPr>
          <w:p w14:paraId="3DB5D4DD" w14:textId="77777777" w:rsidR="00B3043E" w:rsidRPr="009C7957" w:rsidRDefault="00B3043E" w:rsidP="003F5112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268" w:type="dxa"/>
            <w:vAlign w:val="center"/>
          </w:tcPr>
          <w:p w14:paraId="03B4086B" w14:textId="77777777" w:rsidR="00B3043E" w:rsidRPr="009C7957" w:rsidRDefault="00B3043E" w:rsidP="003F51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1985" w:type="dxa"/>
          </w:tcPr>
          <w:p w14:paraId="2CB39417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1,4%</w:t>
            </w:r>
          </w:p>
        </w:tc>
      </w:tr>
      <w:tr w:rsidR="00B3043E" w:rsidRPr="009C7957" w14:paraId="1D5687BE" w14:textId="77777777" w:rsidTr="005C0C70">
        <w:tc>
          <w:tcPr>
            <w:tcW w:w="4252" w:type="dxa"/>
            <w:vAlign w:val="center"/>
          </w:tcPr>
          <w:p w14:paraId="70ED897A" w14:textId="77777777" w:rsidR="00B3043E" w:rsidRPr="009C7957" w:rsidRDefault="00B3043E" w:rsidP="003F5112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268" w:type="dxa"/>
            <w:vAlign w:val="center"/>
          </w:tcPr>
          <w:p w14:paraId="63BFFD56" w14:textId="77777777" w:rsidR="00B3043E" w:rsidRPr="009C7957" w:rsidRDefault="00B3043E" w:rsidP="003F51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431,4</w:t>
            </w:r>
          </w:p>
        </w:tc>
        <w:tc>
          <w:tcPr>
            <w:tcW w:w="1985" w:type="dxa"/>
          </w:tcPr>
          <w:p w14:paraId="5766C9BF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4,7%</w:t>
            </w:r>
          </w:p>
        </w:tc>
      </w:tr>
      <w:tr w:rsidR="00B3043E" w:rsidRPr="009C7957" w14:paraId="7EC589E9" w14:textId="77777777" w:rsidTr="005C0C70">
        <w:tc>
          <w:tcPr>
            <w:tcW w:w="4252" w:type="dxa"/>
            <w:vAlign w:val="center"/>
          </w:tcPr>
          <w:p w14:paraId="1BA25852" w14:textId="77777777" w:rsidR="00B3043E" w:rsidRPr="009C7957" w:rsidRDefault="00B3043E" w:rsidP="003F5112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268" w:type="dxa"/>
            <w:vAlign w:val="center"/>
          </w:tcPr>
          <w:p w14:paraId="3E230287" w14:textId="77777777" w:rsidR="00B3043E" w:rsidRPr="009C7957" w:rsidRDefault="00B3043E" w:rsidP="003F51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2 787,0</w:t>
            </w:r>
          </w:p>
        </w:tc>
        <w:tc>
          <w:tcPr>
            <w:tcW w:w="1985" w:type="dxa"/>
          </w:tcPr>
          <w:p w14:paraId="6024CC7C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30,6%</w:t>
            </w:r>
          </w:p>
        </w:tc>
      </w:tr>
      <w:tr w:rsidR="00B3043E" w:rsidRPr="009C7957" w14:paraId="487A60FC" w14:textId="77777777" w:rsidTr="005C0C70">
        <w:tc>
          <w:tcPr>
            <w:tcW w:w="4252" w:type="dxa"/>
            <w:vAlign w:val="center"/>
          </w:tcPr>
          <w:p w14:paraId="7B4899D1" w14:textId="77777777" w:rsidR="00B3043E" w:rsidRPr="009C7957" w:rsidRDefault="00B3043E" w:rsidP="003F5112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268" w:type="dxa"/>
            <w:vAlign w:val="center"/>
          </w:tcPr>
          <w:p w14:paraId="2B41CF9A" w14:textId="77777777" w:rsidR="00B3043E" w:rsidRPr="009C7957" w:rsidRDefault="00B3043E" w:rsidP="003F511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2 777,5</w:t>
            </w:r>
          </w:p>
        </w:tc>
        <w:tc>
          <w:tcPr>
            <w:tcW w:w="1985" w:type="dxa"/>
          </w:tcPr>
          <w:p w14:paraId="16C61759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30,5%</w:t>
            </w:r>
          </w:p>
        </w:tc>
      </w:tr>
      <w:tr w:rsidR="00B3043E" w:rsidRPr="009C7957" w14:paraId="2224FCE1" w14:textId="77777777" w:rsidTr="005C0C70">
        <w:tc>
          <w:tcPr>
            <w:tcW w:w="4252" w:type="dxa"/>
            <w:vAlign w:val="center"/>
          </w:tcPr>
          <w:p w14:paraId="19E79178" w14:textId="77777777" w:rsidR="00B3043E" w:rsidRPr="009C7957" w:rsidRDefault="00B3043E" w:rsidP="003F5112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268" w:type="dxa"/>
            <w:vAlign w:val="center"/>
          </w:tcPr>
          <w:p w14:paraId="63C46DFA" w14:textId="77777777" w:rsidR="00B3043E" w:rsidRPr="009C7957" w:rsidRDefault="00B3043E" w:rsidP="005A084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7957">
              <w:rPr>
                <w:i/>
                <w:i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985" w:type="dxa"/>
          </w:tcPr>
          <w:p w14:paraId="01BBF14E" w14:textId="77777777" w:rsidR="00B3043E" w:rsidRPr="009C7957" w:rsidRDefault="00B3043E" w:rsidP="005A0845">
            <w:pPr>
              <w:jc w:val="center"/>
              <w:rPr>
                <w:color w:val="000000"/>
                <w:sz w:val="16"/>
                <w:szCs w:val="16"/>
              </w:rPr>
            </w:pPr>
            <w:r w:rsidRPr="009C7957">
              <w:rPr>
                <w:color w:val="000000"/>
                <w:sz w:val="16"/>
                <w:szCs w:val="16"/>
              </w:rPr>
              <w:t>0,3%</w:t>
            </w:r>
          </w:p>
        </w:tc>
      </w:tr>
    </w:tbl>
    <w:p w14:paraId="0005F86B" w14:textId="77777777" w:rsidR="00404CC6" w:rsidRPr="009C7957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0522D333" w14:textId="77777777" w:rsidR="007A39EA" w:rsidRDefault="007A39EA" w:rsidP="00B164F1">
      <w:pPr>
        <w:suppressAutoHyphens/>
        <w:spacing w:after="0" w:line="360" w:lineRule="auto"/>
        <w:ind w:firstLine="709"/>
        <w:jc w:val="both"/>
        <w:rPr>
          <w:sz w:val="22"/>
        </w:rPr>
      </w:pPr>
    </w:p>
    <w:p w14:paraId="20608964" w14:textId="77777777" w:rsidR="007A39EA" w:rsidRDefault="007A39EA" w:rsidP="00B164F1">
      <w:pPr>
        <w:suppressAutoHyphens/>
        <w:spacing w:after="0" w:line="360" w:lineRule="auto"/>
        <w:ind w:firstLine="709"/>
        <w:jc w:val="both"/>
        <w:rPr>
          <w:sz w:val="22"/>
        </w:rPr>
      </w:pPr>
    </w:p>
    <w:p w14:paraId="0017DF97" w14:textId="328397CC" w:rsidR="00B164F1" w:rsidRPr="009C7957" w:rsidRDefault="00B164F1" w:rsidP="007A39EA">
      <w:pPr>
        <w:suppressAutoHyphens/>
        <w:spacing w:after="0" w:line="360" w:lineRule="auto"/>
        <w:ind w:firstLine="709"/>
        <w:jc w:val="both"/>
        <w:rPr>
          <w:sz w:val="22"/>
        </w:rPr>
      </w:pPr>
      <w:r w:rsidRPr="009C7957">
        <w:rPr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B3043E" w:rsidRPr="009C7957">
        <w:rPr>
          <w:sz w:val="22"/>
        </w:rPr>
        <w:t xml:space="preserve">02 - расходы на содержание главы администрации сельсовета в сумме 356,2 тыс. руб., </w:t>
      </w:r>
      <w:r w:rsidRPr="009C7957">
        <w:rPr>
          <w:sz w:val="22"/>
        </w:rPr>
        <w:t>0</w:t>
      </w:r>
      <w:r w:rsidR="00B3043E" w:rsidRPr="009C7957">
        <w:rPr>
          <w:sz w:val="22"/>
        </w:rPr>
        <w:t>4</w:t>
      </w:r>
      <w:r w:rsidRPr="009C7957">
        <w:rPr>
          <w:sz w:val="22"/>
        </w:rPr>
        <w:t xml:space="preserve"> – </w:t>
      </w:r>
      <w:r w:rsidR="00B3043E" w:rsidRPr="009C7957">
        <w:rPr>
          <w:sz w:val="22"/>
        </w:rPr>
        <w:t>аппарата органов местного самоуправления в сумме 1 740,3 тыс. руб.,</w:t>
      </w:r>
      <w:r w:rsidRPr="009C7957">
        <w:rPr>
          <w:sz w:val="22"/>
        </w:rPr>
        <w:t xml:space="preserve"> </w:t>
      </w:r>
      <w:r w:rsidR="00B3043E" w:rsidRPr="009C7957">
        <w:rPr>
          <w:sz w:val="22"/>
        </w:rPr>
        <w:t xml:space="preserve">по подразделу 06 – расходы на обеспечение деятельности органа финансового (финансово-бюджетного) контроля, по подразделу 2,0 тыс. руб., 07 – расходы на проведение выборов собрания депутатов в сумме 91,0 тыс. руб., по подразделу 11 – резервные фонды – расходование средств не производилось, </w:t>
      </w:r>
      <w:r w:rsidRPr="009C7957">
        <w:rPr>
          <w:sz w:val="22"/>
        </w:rPr>
        <w:t>по подразделу 13 были осуществлены расходы на уплату межбюджетных трансфертов в соответствии с заключенными соглашениями в сумме 17,1 тыс. руб.</w:t>
      </w:r>
      <w:r w:rsidR="00B3043E" w:rsidRPr="009C7957">
        <w:rPr>
          <w:sz w:val="22"/>
        </w:rPr>
        <w:t>, расходы на функционирование группы хозяйственного обслуживания – 745,0 тыс. руб., Прочая закупка товаров, работ и услуг – 0,5 тыс. руб. Итоговое исполнение 95,8</w:t>
      </w:r>
      <w:r w:rsidR="00255FA7" w:rsidRPr="009C7957">
        <w:rPr>
          <w:sz w:val="22"/>
        </w:rPr>
        <w:t>%.</w:t>
      </w:r>
    </w:p>
    <w:p w14:paraId="2EE9589C" w14:textId="77777777" w:rsidR="00F120BB" w:rsidRPr="009C7957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C7957">
        <w:rPr>
          <w:rFonts w:eastAsia="Times New Roman" w:cs="Times New Roman"/>
          <w:sz w:val="22"/>
          <w:lang w:eastAsia="ar-SA"/>
        </w:rPr>
        <w:t xml:space="preserve">исполнения </w:t>
      </w:r>
      <w:r w:rsidRPr="009C7957">
        <w:rPr>
          <w:rFonts w:eastAsia="Times New Roman" w:cs="Times New Roman"/>
          <w:sz w:val="22"/>
          <w:lang w:eastAsia="ar-SA"/>
        </w:rPr>
        <w:t>расходов по</w:t>
      </w:r>
      <w:r w:rsidR="00E52493" w:rsidRPr="009C7957">
        <w:rPr>
          <w:rFonts w:eastAsia="Times New Roman" w:cs="Times New Roman"/>
          <w:sz w:val="22"/>
          <w:lang w:eastAsia="ar-SA"/>
        </w:rPr>
        <w:t xml:space="preserve"> </w:t>
      </w:r>
      <w:r w:rsidRPr="009C7957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9C7957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9C7957">
        <w:rPr>
          <w:rFonts w:eastAsia="Times New Roman" w:cs="Times New Roman"/>
          <w:sz w:val="22"/>
          <w:lang w:eastAsia="ar-SA"/>
        </w:rPr>
        <w:t xml:space="preserve"> в сумме </w:t>
      </w:r>
      <w:r w:rsidR="00727908" w:rsidRPr="009C7957">
        <w:rPr>
          <w:rFonts w:eastAsia="Times New Roman" w:cs="Times New Roman"/>
          <w:sz w:val="22"/>
          <w:lang w:eastAsia="ar-SA"/>
        </w:rPr>
        <w:t>130,3</w:t>
      </w:r>
      <w:r w:rsidRPr="009C7957">
        <w:rPr>
          <w:rFonts w:eastAsia="Times New Roman" w:cs="Times New Roman"/>
          <w:sz w:val="22"/>
          <w:lang w:eastAsia="ar-SA"/>
        </w:rPr>
        <w:t xml:space="preserve"> тыс. рублей.</w:t>
      </w:r>
      <w:r w:rsidR="009A3015" w:rsidRPr="009C7957">
        <w:rPr>
          <w:rFonts w:eastAsia="Times New Roman" w:cs="Times New Roman"/>
          <w:sz w:val="22"/>
          <w:lang w:eastAsia="ar-SA"/>
        </w:rPr>
        <w:t xml:space="preserve"> </w:t>
      </w:r>
      <w:r w:rsidR="00255FA7" w:rsidRPr="009C7957">
        <w:rPr>
          <w:sz w:val="22"/>
        </w:rPr>
        <w:t>Итоговое исполнение 100,0%.</w:t>
      </w:r>
    </w:p>
    <w:p w14:paraId="48F91502" w14:textId="77777777" w:rsidR="00F120BB" w:rsidRPr="009C7957" w:rsidRDefault="00F120BB" w:rsidP="00AB17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9C7957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9C7957">
        <w:rPr>
          <w:rFonts w:eastAsia="Times New Roman" w:cs="Times New Roman"/>
          <w:sz w:val="22"/>
          <w:lang w:eastAsia="ar-SA"/>
        </w:rPr>
        <w:t>раздел</w:t>
      </w:r>
      <w:r w:rsidR="00E52493" w:rsidRPr="009C7957">
        <w:rPr>
          <w:rFonts w:eastAsia="Times New Roman" w:cs="Times New Roman"/>
          <w:sz w:val="22"/>
          <w:lang w:eastAsia="ar-SA"/>
        </w:rPr>
        <w:t>а</w:t>
      </w:r>
      <w:r w:rsidRPr="009C7957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9C7957">
        <w:rPr>
          <w:rFonts w:cs="Times New Roman"/>
          <w:sz w:val="22"/>
        </w:rPr>
        <w:t>содержание автомобильных дорог поселения</w:t>
      </w:r>
      <w:r w:rsidRPr="009C7957">
        <w:rPr>
          <w:rFonts w:eastAsia="Times New Roman" w:cs="Times New Roman"/>
          <w:sz w:val="22"/>
          <w:lang w:eastAsia="ar-SA"/>
        </w:rPr>
        <w:t xml:space="preserve"> в сумме </w:t>
      </w:r>
      <w:r w:rsidR="00727908" w:rsidRPr="009C7957">
        <w:rPr>
          <w:rFonts w:eastAsia="Times New Roman" w:cs="Times New Roman"/>
          <w:sz w:val="22"/>
          <w:lang w:eastAsia="ar-SA"/>
        </w:rPr>
        <w:t>431,4</w:t>
      </w:r>
      <w:r w:rsidRPr="009C7957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9C7957">
        <w:rPr>
          <w:rFonts w:eastAsia="Times New Roman" w:cs="Times New Roman"/>
          <w:sz w:val="22"/>
          <w:lang w:eastAsia="ar-SA"/>
        </w:rPr>
        <w:t xml:space="preserve">. </w:t>
      </w:r>
      <w:r w:rsidR="00727908" w:rsidRPr="009C7957">
        <w:rPr>
          <w:rFonts w:cs="Times New Roman"/>
          <w:sz w:val="22"/>
        </w:rPr>
        <w:t>Итоговое исполнение 99,9</w:t>
      </w:r>
      <w:r w:rsidR="00255FA7" w:rsidRPr="009C7957">
        <w:rPr>
          <w:rFonts w:cs="Times New Roman"/>
          <w:sz w:val="22"/>
        </w:rPr>
        <w:t>%.</w:t>
      </w:r>
    </w:p>
    <w:p w14:paraId="3D118DB6" w14:textId="198CBFE4" w:rsidR="00AB17EB" w:rsidRPr="009C7957" w:rsidRDefault="00F120BB" w:rsidP="009C79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C7957">
        <w:rPr>
          <w:rFonts w:eastAsia="Times New Roman" w:cs="Times New Roman"/>
          <w:sz w:val="22"/>
          <w:lang w:eastAsia="ar-SA"/>
        </w:rPr>
        <w:t xml:space="preserve">исполнения </w:t>
      </w:r>
      <w:r w:rsidRPr="009C7957">
        <w:rPr>
          <w:rFonts w:eastAsia="Times New Roman" w:cs="Times New Roman"/>
          <w:sz w:val="22"/>
          <w:lang w:eastAsia="ar-SA"/>
        </w:rPr>
        <w:t>расходов по р</w:t>
      </w:r>
      <w:r w:rsidR="009A3015" w:rsidRPr="009C7957">
        <w:rPr>
          <w:rFonts w:eastAsia="Times New Roman" w:cs="Times New Roman"/>
          <w:sz w:val="22"/>
          <w:lang w:eastAsia="ar-SA"/>
        </w:rPr>
        <w:t xml:space="preserve">азделу </w:t>
      </w:r>
      <w:r w:rsidRPr="009C7957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9C7957">
        <w:rPr>
          <w:rFonts w:eastAsia="Times New Roman" w:cs="Times New Roman"/>
          <w:sz w:val="22"/>
          <w:lang w:eastAsia="ar-SA"/>
        </w:rPr>
        <w:t xml:space="preserve"> </w:t>
      </w:r>
      <w:r w:rsidR="00255FA7" w:rsidRPr="009C7957">
        <w:rPr>
          <w:rFonts w:cs="Times New Roman"/>
          <w:sz w:val="22"/>
        </w:rPr>
        <w:t>вошли расходы</w:t>
      </w:r>
      <w:r w:rsidR="009C7957" w:rsidRPr="009C7957">
        <w:rPr>
          <w:rFonts w:cs="Times New Roman"/>
          <w:sz w:val="22"/>
        </w:rPr>
        <w:t xml:space="preserve"> на </w:t>
      </w:r>
      <w:r w:rsidR="00AB17EB" w:rsidRPr="009C7957">
        <w:rPr>
          <w:rFonts w:cs="Times New Roman"/>
          <w:sz w:val="22"/>
        </w:rPr>
        <w:t>0501 Жилищное хозяйство – 5,0 тыс. руб.,0503 по благоустройству населенных пунктов района в сумме 2 782,0 тыс. руб.</w:t>
      </w:r>
      <w:r w:rsidR="009C7957" w:rsidRPr="009C7957">
        <w:rPr>
          <w:rFonts w:cs="Times New Roman"/>
          <w:sz w:val="22"/>
        </w:rPr>
        <w:t>,</w:t>
      </w:r>
      <w:r w:rsidR="00AB17EB" w:rsidRPr="009C7957">
        <w:rPr>
          <w:rFonts w:cs="Times New Roman"/>
          <w:sz w:val="22"/>
        </w:rPr>
        <w:t xml:space="preserve"> в том числе на проведение мероприятий по благоустройству кладбищ – 5,9 тыс. руб., на мероприятия по сбору и удалению ТКО – 128,0 тыс. руб., на реализацию проектов развития общественной инфраструктуры, основанных на местных инициативах (уличное освещение в с. </w:t>
      </w:r>
      <w:proofErr w:type="spellStart"/>
      <w:r w:rsidR="00AB17EB" w:rsidRPr="009C7957">
        <w:rPr>
          <w:rFonts w:cs="Times New Roman"/>
          <w:sz w:val="22"/>
        </w:rPr>
        <w:t>Малахово</w:t>
      </w:r>
      <w:proofErr w:type="spellEnd"/>
      <w:r w:rsidR="00AB17EB" w:rsidRPr="009C7957">
        <w:rPr>
          <w:rFonts w:cs="Times New Roman"/>
          <w:sz w:val="22"/>
        </w:rPr>
        <w:t xml:space="preserve">. п. </w:t>
      </w:r>
      <w:proofErr w:type="spellStart"/>
      <w:r w:rsidR="00AB17EB" w:rsidRPr="009C7957">
        <w:rPr>
          <w:rFonts w:cs="Times New Roman"/>
          <w:sz w:val="22"/>
        </w:rPr>
        <w:t>Алейский</w:t>
      </w:r>
      <w:proofErr w:type="spellEnd"/>
      <w:r w:rsidR="00AB17EB" w:rsidRPr="009C7957">
        <w:rPr>
          <w:rFonts w:cs="Times New Roman"/>
          <w:sz w:val="22"/>
        </w:rPr>
        <w:t xml:space="preserve">) в сумме 2 514,6 тыс. руб., </w:t>
      </w:r>
      <w:r w:rsidR="009C7957" w:rsidRPr="009C7957">
        <w:rPr>
          <w:rFonts w:cs="Times New Roman"/>
          <w:sz w:val="22"/>
        </w:rPr>
        <w:t>п</w:t>
      </w:r>
      <w:r w:rsidR="00AB17EB" w:rsidRPr="009C7957">
        <w:rPr>
          <w:rFonts w:cs="Times New Roman"/>
          <w:sz w:val="22"/>
        </w:rPr>
        <w:t xml:space="preserve">рочие мероприятия по благоустройству городских округов и поселений – 133,4 тыс. руб. </w:t>
      </w:r>
      <w:r w:rsidR="00AB17EB" w:rsidRPr="009C7957">
        <w:rPr>
          <w:sz w:val="22"/>
        </w:rPr>
        <w:t>Итоговое исполнение 99,99%.</w:t>
      </w:r>
    </w:p>
    <w:p w14:paraId="65766132" w14:textId="6C4FBFB5" w:rsidR="00FF3C5B" w:rsidRPr="009C7957" w:rsidRDefault="00F120BB" w:rsidP="00AB17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2"/>
        </w:rPr>
      </w:pPr>
      <w:r w:rsidRPr="009C7957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C7957">
        <w:rPr>
          <w:rFonts w:eastAsia="Times New Roman" w:cs="Times New Roman"/>
          <w:sz w:val="22"/>
          <w:lang w:eastAsia="ar-SA"/>
        </w:rPr>
        <w:t xml:space="preserve">исполнения </w:t>
      </w:r>
      <w:r w:rsidRPr="009C7957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9C7957">
        <w:rPr>
          <w:rFonts w:cs="Times New Roman"/>
          <w:sz w:val="22"/>
        </w:rPr>
        <w:t xml:space="preserve">вошли расходы на </w:t>
      </w:r>
      <w:r w:rsidR="00AB17EB" w:rsidRPr="009C7957">
        <w:rPr>
          <w:rFonts w:cs="Times New Roman"/>
          <w:sz w:val="22"/>
        </w:rPr>
        <w:t xml:space="preserve">0801 Культура - </w:t>
      </w:r>
      <w:r w:rsidR="00FF3C5B" w:rsidRPr="009C7957">
        <w:rPr>
          <w:rFonts w:cs="Times New Roman"/>
          <w:sz w:val="22"/>
        </w:rPr>
        <w:t>2 </w:t>
      </w:r>
      <w:r w:rsidR="00AB17EB" w:rsidRPr="009C7957">
        <w:rPr>
          <w:rFonts w:cs="Times New Roman"/>
          <w:sz w:val="22"/>
        </w:rPr>
        <w:t>777</w:t>
      </w:r>
      <w:r w:rsidR="00FF3C5B" w:rsidRPr="009C7957">
        <w:rPr>
          <w:rFonts w:cs="Times New Roman"/>
          <w:sz w:val="22"/>
        </w:rPr>
        <w:t>,</w:t>
      </w:r>
      <w:r w:rsidR="00AB17EB" w:rsidRPr="009C7957">
        <w:rPr>
          <w:rFonts w:cs="Times New Roman"/>
          <w:sz w:val="22"/>
        </w:rPr>
        <w:t>5</w:t>
      </w:r>
      <w:r w:rsidR="00FF3C5B" w:rsidRPr="009C7957">
        <w:rPr>
          <w:rFonts w:cs="Times New Roman"/>
          <w:sz w:val="22"/>
        </w:rPr>
        <w:t xml:space="preserve"> тыс. руб.</w:t>
      </w:r>
      <w:r w:rsidR="00AB17EB" w:rsidRPr="009C7957">
        <w:rPr>
          <w:rFonts w:cs="Times New Roman"/>
          <w:sz w:val="22"/>
        </w:rPr>
        <w:t xml:space="preserve">, в том числе в том числе: </w:t>
      </w:r>
      <w:r w:rsidR="009C7957" w:rsidRPr="009C7957">
        <w:rPr>
          <w:rFonts w:cs="Times New Roman"/>
          <w:sz w:val="22"/>
        </w:rPr>
        <w:t>о</w:t>
      </w:r>
      <w:r w:rsidR="00AB17EB" w:rsidRPr="009C7957">
        <w:rPr>
          <w:rFonts w:cs="Times New Roman"/>
          <w:sz w:val="22"/>
        </w:rPr>
        <w:t xml:space="preserve">беспечение жителей поселения услугами организаций культуры – 1 282,8 тыс. руб., расходы на реализацию социально - значимых проектов (ремонт клуба в </w:t>
      </w:r>
      <w:proofErr w:type="spellStart"/>
      <w:r w:rsidR="00AB17EB" w:rsidRPr="009C7957">
        <w:rPr>
          <w:rFonts w:cs="Times New Roman"/>
          <w:sz w:val="22"/>
        </w:rPr>
        <w:t>с.Малахово</w:t>
      </w:r>
      <w:proofErr w:type="spellEnd"/>
      <w:r w:rsidR="00AB17EB" w:rsidRPr="009C7957">
        <w:rPr>
          <w:rFonts w:cs="Times New Roman"/>
          <w:sz w:val="22"/>
        </w:rPr>
        <w:t xml:space="preserve">) в сумме 1 450,0 тыс. руб., расходы на содержание памятников истории культуры в сумме 24,8 тыс. руб., </w:t>
      </w:r>
      <w:r w:rsidR="00FF3C5B" w:rsidRPr="009C7957">
        <w:rPr>
          <w:rFonts w:cs="Times New Roman"/>
          <w:sz w:val="22"/>
        </w:rPr>
        <w:t xml:space="preserve"> 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AB17EB" w:rsidRPr="009C7957">
        <w:rPr>
          <w:rFonts w:cs="Times New Roman"/>
          <w:sz w:val="22"/>
        </w:rPr>
        <w:t>19,9</w:t>
      </w:r>
      <w:r w:rsidR="00FF3C5B" w:rsidRPr="009C7957">
        <w:rPr>
          <w:rFonts w:cs="Times New Roman"/>
          <w:sz w:val="22"/>
        </w:rPr>
        <w:t xml:space="preserve"> тыс. руб.</w:t>
      </w:r>
      <w:r w:rsidR="00AB17EB" w:rsidRPr="009C7957">
        <w:rPr>
          <w:rFonts w:cs="Times New Roman"/>
          <w:sz w:val="22"/>
        </w:rPr>
        <w:t xml:space="preserve"> Итоговое исполнение 96</w:t>
      </w:r>
      <w:r w:rsidR="00FF3C5B" w:rsidRPr="009C7957">
        <w:rPr>
          <w:rFonts w:cs="Times New Roman"/>
          <w:sz w:val="22"/>
        </w:rPr>
        <w:t>,</w:t>
      </w:r>
      <w:r w:rsidR="00AB17EB" w:rsidRPr="009C7957">
        <w:rPr>
          <w:rFonts w:cs="Times New Roman"/>
          <w:sz w:val="22"/>
        </w:rPr>
        <w:t>7</w:t>
      </w:r>
      <w:r w:rsidR="00FF3C5B" w:rsidRPr="009C7957">
        <w:rPr>
          <w:rFonts w:cs="Times New Roman"/>
          <w:sz w:val="22"/>
        </w:rPr>
        <w:t>%.</w:t>
      </w:r>
    </w:p>
    <w:p w14:paraId="626C838E" w14:textId="77777777" w:rsidR="007A39EA" w:rsidRDefault="00F120BB" w:rsidP="00FF3C5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 xml:space="preserve">По разделу 11 «Физическая культура и спорт» </w:t>
      </w:r>
      <w:r w:rsidR="00AB17EB" w:rsidRPr="009C7957">
        <w:rPr>
          <w:rFonts w:eastAsia="Times New Roman" w:cs="Times New Roman"/>
          <w:sz w:val="22"/>
          <w:lang w:eastAsia="ar-SA"/>
        </w:rPr>
        <w:t>расходование сложилось по мероприятиям в области здравоохранения, спорта и физической культуры, туризма</w:t>
      </w:r>
      <w:r w:rsidR="009C7957" w:rsidRPr="009C7957">
        <w:rPr>
          <w:rFonts w:eastAsia="Times New Roman" w:cs="Times New Roman"/>
          <w:sz w:val="22"/>
          <w:lang w:eastAsia="ar-SA"/>
        </w:rPr>
        <w:t xml:space="preserve">, в том числе на обеспечение </w:t>
      </w:r>
    </w:p>
    <w:p w14:paraId="29CE6E33" w14:textId="77777777" w:rsidR="007A39EA" w:rsidRDefault="007A39EA" w:rsidP="007A39EA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4777183C" w14:textId="77777777" w:rsidR="007A39EA" w:rsidRDefault="007A39EA" w:rsidP="007A39EA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097BB274" w14:textId="6F666D2C" w:rsidR="00F120BB" w:rsidRPr="009C7957" w:rsidRDefault="009C7957" w:rsidP="007A39EA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  <w:r w:rsidRPr="009C7957">
        <w:rPr>
          <w:rFonts w:eastAsia="Times New Roman" w:cs="Times New Roman"/>
          <w:sz w:val="22"/>
          <w:lang w:eastAsia="ar-SA"/>
        </w:rPr>
        <w:t>питанием спортсменов, участвующих в спортивных мероприятиях</w:t>
      </w:r>
      <w:r w:rsidR="00AB17EB" w:rsidRPr="009C7957">
        <w:rPr>
          <w:sz w:val="22"/>
        </w:rPr>
        <w:t xml:space="preserve"> в сумме 22,5 тыс. руб. </w:t>
      </w:r>
      <w:r w:rsidR="00AB17EB" w:rsidRPr="009C7957">
        <w:rPr>
          <w:rFonts w:cs="Times New Roman"/>
          <w:sz w:val="22"/>
        </w:rPr>
        <w:t>Итоговое исполнение 97,8%.</w:t>
      </w:r>
    </w:p>
    <w:p w14:paraId="6979C635" w14:textId="77777777" w:rsidR="00CB3403" w:rsidRPr="009C795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7FB5D6B0" w14:textId="77777777" w:rsidR="00E71346" w:rsidRPr="009C7957" w:rsidRDefault="00E71346" w:rsidP="00712FDD">
      <w:pPr>
        <w:spacing w:line="360" w:lineRule="auto"/>
        <w:jc w:val="both"/>
        <w:rPr>
          <w:b/>
          <w:bCs/>
          <w:sz w:val="22"/>
        </w:rPr>
      </w:pPr>
      <w:r w:rsidRPr="009C7957">
        <w:rPr>
          <w:b/>
          <w:bCs/>
          <w:sz w:val="22"/>
        </w:rPr>
        <w:t xml:space="preserve">Сведения о соответствии исполнения бюджета </w:t>
      </w:r>
      <w:r w:rsidR="006D65EF" w:rsidRPr="009C7957">
        <w:rPr>
          <w:b/>
          <w:bCs/>
          <w:sz w:val="22"/>
        </w:rPr>
        <w:t xml:space="preserve">по отдельным показателям </w:t>
      </w:r>
      <w:r w:rsidRPr="009C7957">
        <w:rPr>
          <w:b/>
          <w:bCs/>
          <w:sz w:val="22"/>
        </w:rPr>
        <w:t>требованиям</w:t>
      </w:r>
      <w:r w:rsidR="00712FDD" w:rsidRPr="009C7957">
        <w:rPr>
          <w:b/>
          <w:bCs/>
          <w:sz w:val="22"/>
        </w:rPr>
        <w:t xml:space="preserve"> б</w:t>
      </w:r>
      <w:r w:rsidRPr="009C7957">
        <w:rPr>
          <w:b/>
          <w:bCs/>
          <w:sz w:val="22"/>
        </w:rPr>
        <w:t>юджетного законодательства</w:t>
      </w:r>
    </w:p>
    <w:p w14:paraId="0C7B3A3D" w14:textId="77777777" w:rsidR="00D30549" w:rsidRDefault="00C25A8D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Фактическое превышение </w:t>
      </w:r>
      <w:r w:rsidR="009C7957" w:rsidRPr="009C7957">
        <w:rPr>
          <w:rFonts w:cs="Times New Roman"/>
          <w:sz w:val="22"/>
        </w:rPr>
        <w:t>доходов</w:t>
      </w:r>
      <w:r w:rsidRPr="009C7957">
        <w:rPr>
          <w:rFonts w:cs="Times New Roman"/>
          <w:color w:val="000000"/>
          <w:sz w:val="22"/>
        </w:rPr>
        <w:t xml:space="preserve"> над </w:t>
      </w:r>
      <w:r w:rsidR="009C7957" w:rsidRPr="009C7957">
        <w:rPr>
          <w:rFonts w:cs="Times New Roman"/>
          <w:color w:val="000000"/>
          <w:sz w:val="22"/>
        </w:rPr>
        <w:t>расходами</w:t>
      </w:r>
      <w:r w:rsidRPr="009C7957">
        <w:rPr>
          <w:rFonts w:cs="Times New Roman"/>
          <w:color w:val="000000"/>
          <w:sz w:val="22"/>
        </w:rPr>
        <w:t xml:space="preserve"> составило </w:t>
      </w:r>
      <w:r w:rsidR="0086173A" w:rsidRPr="009C7957">
        <w:rPr>
          <w:rFonts w:cs="Times New Roman"/>
          <w:color w:val="000000"/>
          <w:sz w:val="22"/>
        </w:rPr>
        <w:t>21,3</w:t>
      </w:r>
      <w:r w:rsidRPr="009C7957">
        <w:rPr>
          <w:rFonts w:cs="Times New Roman"/>
          <w:color w:val="000000"/>
          <w:sz w:val="22"/>
        </w:rPr>
        <w:t xml:space="preserve"> </w:t>
      </w:r>
      <w:r w:rsidR="00AE711F" w:rsidRPr="009C7957">
        <w:rPr>
          <w:rFonts w:cs="Times New Roman"/>
          <w:color w:val="000000"/>
          <w:sz w:val="22"/>
        </w:rPr>
        <w:t xml:space="preserve">тыс. </w:t>
      </w:r>
      <w:r w:rsidRPr="009C7957">
        <w:rPr>
          <w:rFonts w:cs="Times New Roman"/>
          <w:color w:val="000000"/>
          <w:sz w:val="22"/>
        </w:rPr>
        <w:t xml:space="preserve">руб. исполнение бюджета характеризуется </w:t>
      </w:r>
      <w:r w:rsidR="0086173A" w:rsidRPr="009C7957">
        <w:rPr>
          <w:rFonts w:cs="Times New Roman"/>
          <w:color w:val="000000"/>
          <w:sz w:val="22"/>
        </w:rPr>
        <w:t>профицитом</w:t>
      </w:r>
      <w:r w:rsidRPr="009C7957">
        <w:rPr>
          <w:rFonts w:cs="Times New Roman"/>
          <w:color w:val="000000"/>
          <w:sz w:val="22"/>
        </w:rPr>
        <w:t xml:space="preserve">. </w:t>
      </w:r>
      <w:r w:rsidRPr="009C7957">
        <w:rPr>
          <w:rFonts w:cs="Times New Roman"/>
          <w:sz w:val="22"/>
        </w:rPr>
        <w:t>Согласно решени</w:t>
      </w:r>
      <w:r w:rsidR="00B72D65" w:rsidRPr="009C7957">
        <w:rPr>
          <w:rFonts w:cs="Times New Roman"/>
          <w:sz w:val="22"/>
        </w:rPr>
        <w:t>я</w:t>
      </w:r>
      <w:r w:rsidRPr="009C7957">
        <w:rPr>
          <w:rFonts w:cs="Times New Roman"/>
          <w:sz w:val="22"/>
        </w:rPr>
        <w:t xml:space="preserve"> Собрания депутатов </w:t>
      </w:r>
      <w:proofErr w:type="spellStart"/>
      <w:r w:rsidR="0086173A"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сельсовета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Алтайского края от 14.12.2021 №</w:t>
      </w:r>
      <w:r w:rsidR="0086173A" w:rsidRPr="009C7957">
        <w:rPr>
          <w:rFonts w:cs="Times New Roman"/>
          <w:sz w:val="22"/>
        </w:rPr>
        <w:t>30</w:t>
      </w:r>
      <w:r w:rsidRPr="009C7957">
        <w:rPr>
          <w:rFonts w:cs="Times New Roman"/>
          <w:sz w:val="22"/>
        </w:rPr>
        <w:t xml:space="preserve"> «О бюджете </w:t>
      </w:r>
      <w:proofErr w:type="spellStart"/>
      <w:r w:rsidR="0086173A" w:rsidRPr="009C7957">
        <w:rPr>
          <w:rFonts w:cs="Times New Roman"/>
          <w:sz w:val="22"/>
        </w:rPr>
        <w:t>Алейского</w:t>
      </w:r>
      <w:proofErr w:type="spellEnd"/>
      <w:r w:rsidR="00AE711F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 xml:space="preserve">сельсовета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</w:t>
      </w:r>
    </w:p>
    <w:p w14:paraId="3F5F838E" w14:textId="77777777" w:rsidR="00D30549" w:rsidRDefault="00D30549" w:rsidP="00D305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</w:p>
    <w:p w14:paraId="7DFA0C4E" w14:textId="6E75FC5E" w:rsidR="006A5BB9" w:rsidRPr="009C7957" w:rsidRDefault="00C25A8D" w:rsidP="00D305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>района Алтайского края на 2022 год и плановый период 2023 и 2024 годов»</w:t>
      </w:r>
      <w:r w:rsidR="009E3AE9" w:rsidRPr="009C7957">
        <w:rPr>
          <w:rFonts w:cs="Times New Roman"/>
          <w:sz w:val="22"/>
        </w:rPr>
        <w:t xml:space="preserve"> (с учетом изменений)</w:t>
      </w:r>
      <w:r w:rsidRPr="009C7957">
        <w:rPr>
          <w:rFonts w:cs="Times New Roman"/>
          <w:sz w:val="22"/>
        </w:rPr>
        <w:t xml:space="preserve"> определен </w:t>
      </w:r>
      <w:r w:rsidRPr="009C7957">
        <w:rPr>
          <w:sz w:val="22"/>
        </w:rPr>
        <w:t>верхний  предел  муниципального  долга  по состоянию на 1 января 202</w:t>
      </w:r>
      <w:r w:rsidR="0086173A" w:rsidRPr="009C7957">
        <w:rPr>
          <w:sz w:val="22"/>
        </w:rPr>
        <w:t>3</w:t>
      </w:r>
      <w:r w:rsidRPr="009C7957">
        <w:rPr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9C7957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</w:t>
      </w:r>
      <w:proofErr w:type="spellStart"/>
      <w:r w:rsidR="00406FE1" w:rsidRPr="009C7957">
        <w:rPr>
          <w:rFonts w:cs="Times New Roman"/>
          <w:color w:val="000000"/>
          <w:sz w:val="22"/>
        </w:rPr>
        <w:t>Алейского</w:t>
      </w:r>
      <w:proofErr w:type="spellEnd"/>
      <w:r w:rsidR="00406FE1" w:rsidRPr="009C7957">
        <w:rPr>
          <w:rFonts w:cs="Times New Roman"/>
          <w:color w:val="000000"/>
          <w:sz w:val="22"/>
        </w:rPr>
        <w:t xml:space="preserve"> района в адрес Администрации </w:t>
      </w:r>
      <w:proofErr w:type="spellStart"/>
      <w:r w:rsidR="0086173A" w:rsidRPr="009C7957">
        <w:rPr>
          <w:rFonts w:cs="Times New Roman"/>
          <w:sz w:val="22"/>
        </w:rPr>
        <w:t>Алейского</w:t>
      </w:r>
      <w:proofErr w:type="spellEnd"/>
      <w:r w:rsidR="00406FE1" w:rsidRPr="009C7957">
        <w:rPr>
          <w:rFonts w:cs="Times New Roman"/>
          <w:color w:val="000000"/>
          <w:sz w:val="22"/>
        </w:rPr>
        <w:t xml:space="preserve"> сельсовета </w:t>
      </w:r>
      <w:proofErr w:type="spellStart"/>
      <w:r w:rsidR="00406FE1" w:rsidRPr="009C7957">
        <w:rPr>
          <w:rFonts w:cs="Times New Roman"/>
          <w:color w:val="000000"/>
          <w:sz w:val="22"/>
        </w:rPr>
        <w:t>Алейского</w:t>
      </w:r>
      <w:proofErr w:type="spellEnd"/>
      <w:r w:rsidR="00406FE1" w:rsidRPr="009C7957">
        <w:rPr>
          <w:rFonts w:cs="Times New Roman"/>
          <w:color w:val="000000"/>
          <w:sz w:val="22"/>
        </w:rPr>
        <w:t xml:space="preserve"> района кредит не предоставлялся. </w:t>
      </w:r>
      <w:r w:rsidR="00E176E0" w:rsidRPr="009C7957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9C7957">
        <w:rPr>
          <w:sz w:val="22"/>
        </w:rPr>
        <w:t>на содержание автомобильных дорог поселения</w:t>
      </w:r>
      <w:r w:rsidR="00E176E0" w:rsidRPr="009C7957">
        <w:rPr>
          <w:rFonts w:eastAsia="Times New Roman" w:cs="Times New Roman"/>
          <w:sz w:val="22"/>
          <w:lang w:eastAsia="ar-SA"/>
        </w:rPr>
        <w:t xml:space="preserve"> в сумме </w:t>
      </w:r>
      <w:r w:rsidR="0086173A" w:rsidRPr="009C7957">
        <w:rPr>
          <w:rFonts w:eastAsia="Times New Roman" w:cs="Times New Roman"/>
          <w:sz w:val="22"/>
          <w:lang w:eastAsia="ar-SA"/>
        </w:rPr>
        <w:t>431,4</w:t>
      </w:r>
      <w:r w:rsidR="00E176E0" w:rsidRPr="009C7957">
        <w:rPr>
          <w:rFonts w:eastAsia="Times New Roman" w:cs="Times New Roman"/>
          <w:sz w:val="22"/>
          <w:lang w:eastAsia="ar-SA"/>
        </w:rPr>
        <w:t xml:space="preserve"> тыс. руб. </w:t>
      </w:r>
      <w:r w:rsidR="008B2046" w:rsidRPr="009C7957">
        <w:rPr>
          <w:rFonts w:eastAsia="Times New Roman" w:cs="Times New Roman"/>
          <w:sz w:val="22"/>
          <w:lang w:eastAsia="ar-SA"/>
        </w:rPr>
        <w:t>Н</w:t>
      </w:r>
      <w:r w:rsidR="00861CA4" w:rsidRPr="009C7957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9C7957">
        <w:rPr>
          <w:sz w:val="22"/>
        </w:rPr>
        <w:t>Резервных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фондов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представительных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органов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и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депутатов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>представительных</w:t>
      </w:r>
      <w:r w:rsidR="00712FDD" w:rsidRPr="009C7957">
        <w:rPr>
          <w:spacing w:val="1"/>
          <w:sz w:val="22"/>
        </w:rPr>
        <w:t xml:space="preserve"> </w:t>
      </w:r>
      <w:r w:rsidR="00712FDD" w:rsidRPr="009C7957">
        <w:rPr>
          <w:sz w:val="22"/>
        </w:rPr>
        <w:t xml:space="preserve">органов </w:t>
      </w:r>
      <w:r w:rsidR="00861CA4" w:rsidRPr="009C7957">
        <w:rPr>
          <w:sz w:val="22"/>
        </w:rPr>
        <w:t xml:space="preserve">в структуре </w:t>
      </w:r>
      <w:r w:rsidR="00861CA4" w:rsidRPr="009C7957">
        <w:rPr>
          <w:rFonts w:cs="Times New Roman"/>
          <w:sz w:val="22"/>
        </w:rPr>
        <w:t xml:space="preserve">бюджета </w:t>
      </w:r>
      <w:r w:rsidR="00712FDD" w:rsidRPr="009C7957">
        <w:rPr>
          <w:rFonts w:cs="Times New Roman"/>
          <w:sz w:val="22"/>
        </w:rPr>
        <w:t>не установлено.</w:t>
      </w:r>
      <w:r w:rsidR="009E3AE9" w:rsidRPr="009C7957">
        <w:rPr>
          <w:rFonts w:cs="Times New Roman"/>
          <w:sz w:val="22"/>
        </w:rPr>
        <w:t xml:space="preserve"> Расходование средств не происходило.</w:t>
      </w:r>
      <w:r w:rsidR="00284271" w:rsidRPr="009C7957">
        <w:rPr>
          <w:rFonts w:cs="Times New Roman"/>
          <w:sz w:val="22"/>
        </w:rPr>
        <w:t xml:space="preserve"> </w:t>
      </w:r>
    </w:p>
    <w:p w14:paraId="7CB6FB9A" w14:textId="2B0574E4" w:rsidR="008A26DA" w:rsidRPr="009C7957" w:rsidRDefault="006F3C6C" w:rsidP="0086173A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9C7957">
        <w:rPr>
          <w:rFonts w:cs="Times New Roman"/>
          <w:sz w:val="22"/>
        </w:rPr>
        <w:t xml:space="preserve">Пунктом 6 ст. 21 </w:t>
      </w:r>
      <w:r w:rsidR="009C7957" w:rsidRPr="009C7957">
        <w:rPr>
          <w:sz w:val="22"/>
        </w:rPr>
        <w:t xml:space="preserve">Положения о бюджетном процессе в муниципальном образовании </w:t>
      </w:r>
      <w:proofErr w:type="spellStart"/>
      <w:r w:rsidR="009C7957" w:rsidRPr="009C7957">
        <w:rPr>
          <w:sz w:val="22"/>
        </w:rPr>
        <w:t>Алейский</w:t>
      </w:r>
      <w:proofErr w:type="spellEnd"/>
      <w:r w:rsidR="009C7957" w:rsidRPr="009C7957">
        <w:rPr>
          <w:sz w:val="22"/>
        </w:rPr>
        <w:t xml:space="preserve"> сельсовет </w:t>
      </w:r>
      <w:proofErr w:type="spellStart"/>
      <w:r w:rsidR="009C7957" w:rsidRPr="009C7957">
        <w:rPr>
          <w:sz w:val="22"/>
        </w:rPr>
        <w:t>Алейского</w:t>
      </w:r>
      <w:proofErr w:type="spellEnd"/>
      <w:r w:rsidR="009C7957" w:rsidRPr="009C7957">
        <w:rPr>
          <w:sz w:val="22"/>
        </w:rPr>
        <w:t xml:space="preserve"> района Алтайского края</w:t>
      </w:r>
      <w:r w:rsidR="009C7957" w:rsidRPr="009C7957">
        <w:rPr>
          <w:rFonts w:eastAsia="Times New Roman" w:cs="Times New Roman"/>
          <w:sz w:val="22"/>
          <w:lang w:eastAsia="ru-RU"/>
        </w:rPr>
        <w:t xml:space="preserve">, утвержденного Решением Собрания депутатов </w:t>
      </w:r>
      <w:proofErr w:type="spellStart"/>
      <w:r w:rsidR="009C7957"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9C7957" w:rsidRPr="009C7957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9C7957" w:rsidRPr="009C7957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9C7957" w:rsidRPr="009C7957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9C7957" w:rsidRPr="009C7957">
        <w:rPr>
          <w:rFonts w:eastAsia="Times New Roman" w:cs="Times New Roman"/>
          <w:sz w:val="22"/>
        </w:rPr>
        <w:t>27.03.2014г. №4</w:t>
      </w:r>
      <w:r w:rsidR="009C7957" w:rsidRPr="009C7957">
        <w:rPr>
          <w:rFonts w:cs="Times New Roman"/>
          <w:sz w:val="22"/>
        </w:rPr>
        <w:t xml:space="preserve"> </w:t>
      </w:r>
      <w:r w:rsidR="0086173A" w:rsidRPr="009C7957">
        <w:rPr>
          <w:rFonts w:cs="Times New Roman"/>
          <w:sz w:val="22"/>
        </w:rPr>
        <w:t>(с изменениями</w:t>
      </w:r>
      <w:r w:rsidRPr="009C7957">
        <w:rPr>
          <w:rFonts w:cs="Times New Roman"/>
          <w:sz w:val="22"/>
        </w:rPr>
        <w:t>,</w:t>
      </w:r>
      <w:r w:rsidR="00AC6869" w:rsidRPr="009C7957">
        <w:rPr>
          <w:rFonts w:cs="Times New Roman"/>
          <w:sz w:val="22"/>
        </w:rPr>
        <w:t xml:space="preserve"> </w:t>
      </w:r>
      <w:r w:rsidRPr="009C7957">
        <w:rPr>
          <w:rFonts w:cs="Times New Roman"/>
          <w:sz w:val="22"/>
        </w:rPr>
        <w:t>установлен перечень отчетов, которые предоставляются о</w:t>
      </w:r>
      <w:r w:rsidRPr="009C7957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Pr="009C7957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9C7957">
        <w:rPr>
          <w:rFonts w:cs="Times New Roman"/>
          <w:bCs/>
          <w:sz w:val="22"/>
          <w:lang w:eastAsia="ar-SA"/>
        </w:rPr>
        <w:t xml:space="preserve">, </w:t>
      </w:r>
      <w:r w:rsidR="00DE683A" w:rsidRPr="009C7957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proofErr w:type="spellStart"/>
      <w:r w:rsidR="0086173A" w:rsidRPr="009C7957">
        <w:rPr>
          <w:rFonts w:eastAsia="Times New Roman" w:cs="Times New Roman"/>
          <w:sz w:val="22"/>
          <w:lang w:eastAsia="ru-RU"/>
        </w:rPr>
        <w:t>Алейский</w:t>
      </w:r>
      <w:proofErr w:type="spellEnd"/>
      <w:r w:rsidR="00DE683A" w:rsidRPr="009C7957">
        <w:rPr>
          <w:rFonts w:eastAsia="Times New Roman" w:cs="Times New Roman"/>
          <w:sz w:val="22"/>
          <w:lang w:eastAsia="ru-RU"/>
        </w:rPr>
        <w:t xml:space="preserve"> сельсовет на начало и конец отчетного финансового года, отчет о выполнении программы приватизации на очередной финансовый год</w:t>
      </w:r>
      <w:r w:rsidRPr="009C7957">
        <w:rPr>
          <w:rFonts w:eastAsia="Times New Roman" w:cs="Times New Roman"/>
          <w:sz w:val="22"/>
          <w:lang w:eastAsia="ru-RU"/>
        </w:rPr>
        <w:t>).</w:t>
      </w:r>
      <w:r w:rsidR="008A26DA" w:rsidRPr="009C7957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12DF391C" w14:textId="77777777" w:rsidR="00FF4369" w:rsidRPr="009C7957" w:rsidRDefault="00FF436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189EABE2" w14:textId="77777777" w:rsidR="00720DB9" w:rsidRPr="009C7957" w:rsidRDefault="00720DB9" w:rsidP="00720DB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C7957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1A34C63C" w14:textId="77777777" w:rsidR="00B54858" w:rsidRPr="009C7957" w:rsidRDefault="00720DB9" w:rsidP="00B548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C7957">
        <w:rPr>
          <w:rFonts w:cs="Times New Roman"/>
          <w:color w:val="000000"/>
          <w:sz w:val="22"/>
        </w:rPr>
        <w:t xml:space="preserve">На едином счете бюджета </w:t>
      </w:r>
      <w:proofErr w:type="spellStart"/>
      <w:r w:rsidR="000C393C" w:rsidRPr="009C7957">
        <w:rPr>
          <w:rFonts w:cs="Times New Roman"/>
          <w:color w:val="000000"/>
          <w:sz w:val="22"/>
        </w:rPr>
        <w:t>Алейского</w:t>
      </w:r>
      <w:proofErr w:type="spellEnd"/>
      <w:r w:rsidRPr="009C7957">
        <w:rPr>
          <w:rFonts w:cs="Times New Roman"/>
          <w:color w:val="000000"/>
          <w:sz w:val="22"/>
        </w:rPr>
        <w:t xml:space="preserve"> сельсовета на конец года остаток средств составил </w:t>
      </w:r>
      <w:r w:rsidR="000C393C" w:rsidRPr="009C7957">
        <w:rPr>
          <w:rFonts w:cs="Times New Roman"/>
          <w:color w:val="000000"/>
          <w:sz w:val="22"/>
        </w:rPr>
        <w:t>87 072,97</w:t>
      </w:r>
      <w:r w:rsidRPr="009C7957">
        <w:rPr>
          <w:rFonts w:cs="Times New Roman"/>
          <w:color w:val="000000"/>
          <w:sz w:val="22"/>
        </w:rPr>
        <w:t xml:space="preserve"> руб.</w:t>
      </w:r>
      <w:r w:rsidR="00B54858" w:rsidRPr="009C7957">
        <w:rPr>
          <w:rFonts w:ascii="Times New Roman CYR" w:hAnsi="Times New Roman CYR" w:cs="Times New Roman CYR"/>
          <w:color w:val="000000"/>
          <w:sz w:val="22"/>
        </w:rPr>
        <w:t xml:space="preserve"> </w:t>
      </w:r>
    </w:p>
    <w:p w14:paraId="75A5AA0F" w14:textId="77777777" w:rsidR="00DC2209" w:rsidRPr="009C7957" w:rsidRDefault="00DC2209" w:rsidP="000C393C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C7957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22F89DB7" w14:textId="77777777" w:rsidR="007A39EA" w:rsidRDefault="007A39EA" w:rsidP="000C39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b/>
          <w:bCs/>
          <w:color w:val="000000"/>
          <w:sz w:val="22"/>
        </w:rPr>
      </w:pPr>
    </w:p>
    <w:p w14:paraId="6F79FF7A" w14:textId="3EE99B53" w:rsidR="00182FD7" w:rsidRPr="009C7957" w:rsidRDefault="00B8303B" w:rsidP="000C39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C7957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9C7957">
        <w:rPr>
          <w:rFonts w:cs="Times New Roman"/>
          <w:color w:val="000000"/>
          <w:sz w:val="22"/>
        </w:rPr>
        <w:t xml:space="preserve"> на </w:t>
      </w:r>
      <w:r w:rsidR="000C393C" w:rsidRPr="009C7957">
        <w:rPr>
          <w:rFonts w:cs="Times New Roman"/>
          <w:color w:val="000000"/>
          <w:sz w:val="22"/>
        </w:rPr>
        <w:t>конец отчетного периода</w:t>
      </w:r>
      <w:r w:rsidRPr="009C7957">
        <w:rPr>
          <w:rFonts w:cs="Times New Roman"/>
          <w:color w:val="000000"/>
          <w:sz w:val="22"/>
        </w:rPr>
        <w:t xml:space="preserve"> составила </w:t>
      </w:r>
      <w:r w:rsidR="000C393C" w:rsidRPr="009C7957">
        <w:rPr>
          <w:sz w:val="22"/>
        </w:rPr>
        <w:t>9 417 282,42</w:t>
      </w:r>
      <w:r w:rsidRPr="009C7957">
        <w:rPr>
          <w:rFonts w:cs="Times New Roman"/>
          <w:color w:val="000000"/>
          <w:sz w:val="22"/>
        </w:rPr>
        <w:t xml:space="preserve"> руб</w:t>
      </w:r>
      <w:r w:rsidR="000C393C" w:rsidRPr="009C7957">
        <w:rPr>
          <w:rFonts w:cs="Times New Roman"/>
          <w:color w:val="000000"/>
          <w:sz w:val="22"/>
        </w:rPr>
        <w:t>.</w:t>
      </w:r>
      <w:r w:rsidRPr="009C7957">
        <w:rPr>
          <w:rFonts w:cs="Times New Roman"/>
          <w:color w:val="000000"/>
          <w:sz w:val="22"/>
        </w:rPr>
        <w:t xml:space="preserve">, из нее долгосрочная – </w:t>
      </w:r>
      <w:r w:rsidR="004E3F4F" w:rsidRPr="009C7957">
        <w:rPr>
          <w:rFonts w:cs="Times New Roman"/>
          <w:color w:val="000000"/>
          <w:sz w:val="22"/>
        </w:rPr>
        <w:t>6 503 809,42</w:t>
      </w:r>
      <w:r w:rsidRPr="009C7957">
        <w:rPr>
          <w:rFonts w:cs="Times New Roman"/>
          <w:color w:val="000000"/>
          <w:sz w:val="22"/>
        </w:rPr>
        <w:t xml:space="preserve"> руб</w:t>
      </w:r>
      <w:r w:rsidR="000C393C" w:rsidRPr="009C7957">
        <w:rPr>
          <w:rFonts w:cs="Times New Roman"/>
          <w:color w:val="000000"/>
          <w:sz w:val="22"/>
        </w:rPr>
        <w:t>.</w:t>
      </w:r>
      <w:r w:rsidRPr="009C7957">
        <w:rPr>
          <w:rFonts w:cs="Times New Roman"/>
          <w:color w:val="000000"/>
          <w:sz w:val="22"/>
        </w:rPr>
        <w:t>, просроченная</w:t>
      </w:r>
      <w:r w:rsidR="000C393C" w:rsidRPr="009C7957">
        <w:rPr>
          <w:rFonts w:cs="Times New Roman"/>
          <w:color w:val="000000"/>
          <w:sz w:val="22"/>
        </w:rPr>
        <w:t xml:space="preserve"> </w:t>
      </w:r>
      <w:r w:rsidRPr="009C7957">
        <w:rPr>
          <w:rFonts w:cs="Times New Roman"/>
          <w:color w:val="000000"/>
          <w:sz w:val="22"/>
        </w:rPr>
        <w:t xml:space="preserve">– </w:t>
      </w:r>
      <w:r w:rsidR="000C393C" w:rsidRPr="009C7957">
        <w:rPr>
          <w:rFonts w:cs="Times New Roman"/>
          <w:color w:val="000000"/>
          <w:sz w:val="22"/>
        </w:rPr>
        <w:t>395 815,64</w:t>
      </w:r>
      <w:r w:rsidRPr="009C7957">
        <w:rPr>
          <w:rFonts w:cs="Times New Roman"/>
          <w:color w:val="000000"/>
          <w:sz w:val="22"/>
        </w:rPr>
        <w:t xml:space="preserve"> руб</w:t>
      </w:r>
      <w:r w:rsidR="000C393C" w:rsidRPr="009C7957">
        <w:rPr>
          <w:rFonts w:cs="Times New Roman"/>
          <w:color w:val="000000"/>
          <w:sz w:val="22"/>
        </w:rPr>
        <w:t>.</w:t>
      </w:r>
      <w:r w:rsidR="00EF19EC" w:rsidRPr="009C7957">
        <w:rPr>
          <w:rFonts w:cs="Times New Roman"/>
          <w:color w:val="000000"/>
          <w:sz w:val="22"/>
        </w:rPr>
        <w:t xml:space="preserve">: </w:t>
      </w:r>
    </w:p>
    <w:p w14:paraId="364AD93E" w14:textId="77777777" w:rsidR="000C393C" w:rsidRPr="009C7957" w:rsidRDefault="000C393C" w:rsidP="000C393C">
      <w:pPr>
        <w:spacing w:line="360" w:lineRule="auto"/>
        <w:ind w:firstLine="709"/>
        <w:contextualSpacing/>
        <w:jc w:val="both"/>
        <w:rPr>
          <w:color w:val="FFFFFF"/>
          <w:sz w:val="22"/>
        </w:rPr>
      </w:pPr>
      <w:r w:rsidRPr="009C7957">
        <w:rPr>
          <w:sz w:val="22"/>
        </w:rPr>
        <w:t>счет 205.11 – 305 641,07 руб., в том числе просроченная 304 569,07 руб. – задолженность УФНС России по Алтайскому краю;</w:t>
      </w:r>
      <w:r w:rsidRPr="009C7957">
        <w:rPr>
          <w:color w:val="FFFFFF"/>
          <w:sz w:val="22"/>
        </w:rPr>
        <w:t xml:space="preserve"> </w:t>
      </w:r>
    </w:p>
    <w:p w14:paraId="707CE4FB" w14:textId="77777777" w:rsidR="000C393C" w:rsidRPr="009C7957" w:rsidRDefault="000C393C" w:rsidP="000C393C">
      <w:pPr>
        <w:spacing w:line="360" w:lineRule="auto"/>
        <w:ind w:firstLine="709"/>
        <w:contextualSpacing/>
        <w:jc w:val="both"/>
        <w:rPr>
          <w:color w:val="000000"/>
          <w:sz w:val="22"/>
        </w:rPr>
      </w:pPr>
      <w:r w:rsidRPr="009C7957">
        <w:rPr>
          <w:color w:val="000000"/>
          <w:sz w:val="22"/>
        </w:rPr>
        <w:t xml:space="preserve">счет 205.21 – 7 305,00 руб., задолженность за аренду помещения АО «Почта России» за октябрь - декабрь 2022 года, в том числе просроченная 7 305,00 руб.; </w:t>
      </w:r>
    </w:p>
    <w:p w14:paraId="026959A3" w14:textId="77777777" w:rsidR="000C393C" w:rsidRPr="009C7957" w:rsidRDefault="000C393C" w:rsidP="000C393C">
      <w:pPr>
        <w:spacing w:line="360" w:lineRule="auto"/>
        <w:ind w:firstLine="709"/>
        <w:contextualSpacing/>
        <w:jc w:val="both"/>
        <w:rPr>
          <w:color w:val="000000"/>
          <w:sz w:val="22"/>
        </w:rPr>
      </w:pPr>
      <w:r w:rsidRPr="009C7957">
        <w:rPr>
          <w:color w:val="000000"/>
          <w:sz w:val="22"/>
        </w:rPr>
        <w:t>счет 205.23 – 4 750 109,42 руб., з</w:t>
      </w:r>
      <w:r w:rsidRPr="009C7957">
        <w:rPr>
          <w:sz w:val="22"/>
        </w:rPr>
        <w:t xml:space="preserve">адолженность по арендным платежам за пользование природными ресурсами по долгосрочным договорам аренды. </w:t>
      </w:r>
      <w:r w:rsidRPr="009C7957">
        <w:rPr>
          <w:color w:val="000000"/>
          <w:sz w:val="22"/>
        </w:rPr>
        <w:t xml:space="preserve">Просроченная задолженность по арендным платежам составляет 8 120,00 руб. </w:t>
      </w:r>
    </w:p>
    <w:p w14:paraId="1EA07DC9" w14:textId="068AF406" w:rsidR="000C393C" w:rsidRPr="009C7957" w:rsidRDefault="000C393C" w:rsidP="000C393C">
      <w:pPr>
        <w:spacing w:line="360" w:lineRule="auto"/>
        <w:ind w:firstLine="709"/>
        <w:contextualSpacing/>
        <w:jc w:val="both"/>
        <w:rPr>
          <w:color w:val="000000"/>
          <w:sz w:val="22"/>
        </w:rPr>
      </w:pPr>
      <w:r w:rsidRPr="009C7957">
        <w:rPr>
          <w:color w:val="000000"/>
          <w:sz w:val="22"/>
        </w:rPr>
        <w:t>счет 205.29 – 76 406,89 руб., задолженность физических лиц за социальный найм жилья, в том числе просроченная – 75 821,37 руб.;</w:t>
      </w:r>
    </w:p>
    <w:p w14:paraId="0E064B03" w14:textId="6152DDBA" w:rsidR="000C393C" w:rsidRPr="009C7957" w:rsidRDefault="000C393C" w:rsidP="000C393C">
      <w:pPr>
        <w:spacing w:line="360" w:lineRule="auto"/>
        <w:ind w:firstLine="709"/>
        <w:contextualSpacing/>
        <w:jc w:val="both"/>
        <w:rPr>
          <w:sz w:val="22"/>
        </w:rPr>
      </w:pPr>
      <w:r w:rsidRPr="009C7957">
        <w:rPr>
          <w:color w:val="000000"/>
          <w:sz w:val="22"/>
        </w:rPr>
        <w:t>счет 205.51 – 4 275 400 руб., п</w:t>
      </w:r>
      <w:r w:rsidRPr="009C7957">
        <w:rPr>
          <w:sz w:val="22"/>
        </w:rPr>
        <w:t xml:space="preserve">лановые безвозмездные поступления в соответствии с РСД от </w:t>
      </w:r>
      <w:r w:rsidR="009C7957" w:rsidRPr="009C7957">
        <w:rPr>
          <w:sz w:val="22"/>
        </w:rPr>
        <w:t>14</w:t>
      </w:r>
      <w:r w:rsidRPr="009C7957">
        <w:rPr>
          <w:sz w:val="22"/>
        </w:rPr>
        <w:t>.12.202</w:t>
      </w:r>
      <w:r w:rsidR="009C7957" w:rsidRPr="009C7957">
        <w:rPr>
          <w:sz w:val="22"/>
        </w:rPr>
        <w:t>1</w:t>
      </w:r>
      <w:r w:rsidRPr="009C7957">
        <w:rPr>
          <w:sz w:val="22"/>
        </w:rPr>
        <w:t xml:space="preserve">  № </w:t>
      </w:r>
      <w:r w:rsidR="009C7957" w:rsidRPr="009C7957">
        <w:rPr>
          <w:sz w:val="22"/>
        </w:rPr>
        <w:t>30</w:t>
      </w:r>
      <w:r w:rsidRPr="009C7957">
        <w:rPr>
          <w:sz w:val="22"/>
        </w:rPr>
        <w:t xml:space="preserve"> «О бюджете </w:t>
      </w:r>
      <w:proofErr w:type="spellStart"/>
      <w:r w:rsidRPr="009C7957">
        <w:rPr>
          <w:sz w:val="22"/>
        </w:rPr>
        <w:t>Алейского</w:t>
      </w:r>
      <w:proofErr w:type="spellEnd"/>
      <w:r w:rsidRPr="009C7957">
        <w:rPr>
          <w:sz w:val="22"/>
        </w:rPr>
        <w:t xml:space="preserve"> сельсовета </w:t>
      </w:r>
      <w:proofErr w:type="spellStart"/>
      <w:r w:rsidRPr="009C7957">
        <w:rPr>
          <w:sz w:val="22"/>
        </w:rPr>
        <w:t>Алейского</w:t>
      </w:r>
      <w:proofErr w:type="spellEnd"/>
      <w:r w:rsidRPr="009C7957">
        <w:rPr>
          <w:sz w:val="22"/>
        </w:rPr>
        <w:t xml:space="preserve"> района Алтайского края на 2023 год и на плановый 2024 и 2025 годов»</w:t>
      </w:r>
      <w:r w:rsidR="009C7957" w:rsidRPr="009C7957">
        <w:rPr>
          <w:sz w:val="22"/>
        </w:rPr>
        <w:t xml:space="preserve"> (с учетом изменений)</w:t>
      </w:r>
      <w:r w:rsidRPr="009C7957">
        <w:rPr>
          <w:sz w:val="22"/>
        </w:rPr>
        <w:t>;</w:t>
      </w:r>
    </w:p>
    <w:p w14:paraId="2278650B" w14:textId="77777777" w:rsidR="000C393C" w:rsidRPr="009C7957" w:rsidRDefault="000C393C" w:rsidP="000C393C">
      <w:pPr>
        <w:spacing w:line="360" w:lineRule="auto"/>
        <w:ind w:firstLine="709"/>
        <w:contextualSpacing/>
        <w:jc w:val="both"/>
        <w:rPr>
          <w:color w:val="000000"/>
          <w:sz w:val="22"/>
        </w:rPr>
      </w:pPr>
      <w:r w:rsidRPr="009C7957">
        <w:rPr>
          <w:color w:val="000000"/>
          <w:sz w:val="22"/>
        </w:rPr>
        <w:t>счет 209.34 – 2 420,04 руб., задолженность ФКУ "Военный комиссариат Алтайского края» за компенсацию транспортных расходов за доставку призывников за декабрь 2022 год.</w:t>
      </w:r>
    </w:p>
    <w:p w14:paraId="7FC91E40" w14:textId="4EF567ED" w:rsidR="00F07118" w:rsidRPr="009C7957" w:rsidRDefault="00F07118" w:rsidP="0043156A">
      <w:pPr>
        <w:spacing w:line="360" w:lineRule="auto"/>
        <w:ind w:firstLine="708"/>
        <w:jc w:val="both"/>
        <w:rPr>
          <w:sz w:val="22"/>
        </w:rPr>
      </w:pPr>
      <w:r w:rsidRPr="009C7957">
        <w:rPr>
          <w:b/>
          <w:bCs/>
          <w:sz w:val="22"/>
        </w:rPr>
        <w:t>Кредиторская задолженность</w:t>
      </w:r>
      <w:r w:rsidRPr="009C7957">
        <w:rPr>
          <w:sz w:val="22"/>
        </w:rPr>
        <w:t xml:space="preserve"> 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на </w:t>
      </w:r>
      <w:r w:rsidR="009C7957" w:rsidRPr="009C7957">
        <w:rPr>
          <w:rFonts w:ascii="Times New Roman CYR" w:hAnsi="Times New Roman CYR" w:cs="Times New Roman CYR"/>
          <w:color w:val="000000"/>
          <w:sz w:val="22"/>
        </w:rPr>
        <w:t>конец отчетного периода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Pr="009C7957">
        <w:rPr>
          <w:sz w:val="22"/>
        </w:rPr>
        <w:t>по счетам бухгалтерского учета:</w:t>
      </w:r>
    </w:p>
    <w:p w14:paraId="619A737C" w14:textId="77777777" w:rsidR="00F56F4B" w:rsidRPr="009C7957" w:rsidRDefault="00F56F4B" w:rsidP="00F56F4B">
      <w:pPr>
        <w:spacing w:line="360" w:lineRule="auto"/>
        <w:ind w:firstLine="709"/>
        <w:contextualSpacing/>
        <w:jc w:val="both"/>
        <w:rPr>
          <w:color w:val="FFFFFF"/>
          <w:sz w:val="22"/>
        </w:rPr>
      </w:pPr>
      <w:r w:rsidRPr="009C7957">
        <w:rPr>
          <w:sz w:val="22"/>
        </w:rPr>
        <w:t>счет 205.11 – 559 288,94 руб.- задолженность перед УФНС России по Алтайскому краю;</w:t>
      </w:r>
      <w:r w:rsidRPr="009C7957">
        <w:rPr>
          <w:color w:val="FFFFFF"/>
          <w:sz w:val="22"/>
        </w:rPr>
        <w:t xml:space="preserve"> </w:t>
      </w:r>
    </w:p>
    <w:p w14:paraId="7D4D4E29" w14:textId="77777777" w:rsidR="004E3F4F" w:rsidRPr="009C7957" w:rsidRDefault="00F56F4B" w:rsidP="004E3F4F">
      <w:pPr>
        <w:spacing w:line="360" w:lineRule="auto"/>
        <w:ind w:firstLine="709"/>
        <w:jc w:val="both"/>
        <w:rPr>
          <w:sz w:val="22"/>
        </w:rPr>
      </w:pPr>
      <w:r w:rsidRPr="009C7957">
        <w:rPr>
          <w:sz w:val="22"/>
        </w:rPr>
        <w:t xml:space="preserve">счет </w:t>
      </w:r>
      <w:r w:rsidR="004E3F4F" w:rsidRPr="009C7957">
        <w:rPr>
          <w:sz w:val="22"/>
        </w:rPr>
        <w:t>208.34 на 442,90 руб. в связи с отсутствием предоставления авансовых отчетов за 2021г;</w:t>
      </w:r>
    </w:p>
    <w:p w14:paraId="19BC6D3D" w14:textId="77777777" w:rsidR="004E3F4F" w:rsidRPr="009C7957" w:rsidRDefault="00F56F4B" w:rsidP="004E3F4F">
      <w:pPr>
        <w:spacing w:line="360" w:lineRule="auto"/>
        <w:ind w:firstLine="709"/>
        <w:jc w:val="both"/>
        <w:rPr>
          <w:sz w:val="22"/>
        </w:rPr>
      </w:pPr>
      <w:r w:rsidRPr="009C7957">
        <w:rPr>
          <w:sz w:val="22"/>
        </w:rPr>
        <w:t xml:space="preserve">счет </w:t>
      </w:r>
      <w:r w:rsidR="004E3F4F" w:rsidRPr="009C7957">
        <w:rPr>
          <w:sz w:val="22"/>
        </w:rPr>
        <w:t xml:space="preserve">302.21 на </w:t>
      </w:r>
      <w:r w:rsidRPr="009C7957">
        <w:rPr>
          <w:sz w:val="22"/>
        </w:rPr>
        <w:t>5 556,48</w:t>
      </w:r>
      <w:r w:rsidR="004E3F4F" w:rsidRPr="009C7957">
        <w:rPr>
          <w:sz w:val="22"/>
        </w:rPr>
        <w:t xml:space="preserve"> руб. в связи с увеличением стоимости за услуги связи и интернета;</w:t>
      </w:r>
    </w:p>
    <w:p w14:paraId="6CB777D4" w14:textId="798B3EB2" w:rsidR="004E3F4F" w:rsidRPr="009C7957" w:rsidRDefault="00F56F4B" w:rsidP="004E3F4F">
      <w:pPr>
        <w:spacing w:line="360" w:lineRule="auto"/>
        <w:ind w:firstLine="709"/>
        <w:jc w:val="both"/>
        <w:rPr>
          <w:color w:val="000000"/>
          <w:sz w:val="22"/>
        </w:rPr>
      </w:pPr>
      <w:r w:rsidRPr="009C7957">
        <w:rPr>
          <w:sz w:val="22"/>
        </w:rPr>
        <w:t>счет</w:t>
      </w:r>
      <w:r w:rsidR="00C44952" w:rsidRPr="009C7957">
        <w:rPr>
          <w:sz w:val="22"/>
        </w:rPr>
        <w:t xml:space="preserve"> </w:t>
      </w:r>
      <w:r w:rsidR="004E3F4F" w:rsidRPr="009C7957">
        <w:rPr>
          <w:sz w:val="22"/>
        </w:rPr>
        <w:t>302.23 на 177 532,46 руб. в связи с непринятыми обязательствами за услуги теплоснабжения в декабре 2021 года.</w:t>
      </w:r>
    </w:p>
    <w:p w14:paraId="557CE278" w14:textId="77777777" w:rsidR="00EF19EC" w:rsidRPr="009C7957" w:rsidRDefault="00EF19EC" w:rsidP="004E3F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color w:val="000000"/>
          <w:sz w:val="22"/>
        </w:rPr>
      </w:pPr>
      <w:r w:rsidRPr="009C7957">
        <w:rPr>
          <w:rFonts w:ascii="Times New Roman CYR" w:hAnsi="Times New Roman CYR" w:cs="Times New Roman CYR"/>
          <w:color w:val="000000"/>
          <w:sz w:val="22"/>
        </w:rPr>
        <w:t xml:space="preserve">На конец отчетного периода общая сумма задолженности составила </w:t>
      </w:r>
      <w:r w:rsidR="004E3F4F" w:rsidRPr="009C7957">
        <w:rPr>
          <w:rFonts w:cs="Times New Roman"/>
          <w:color w:val="000000"/>
          <w:sz w:val="22"/>
        </w:rPr>
        <w:t>742 820,78 руб.,</w:t>
      </w:r>
      <w:r w:rsidR="00861CA4" w:rsidRPr="009C7957">
        <w:rPr>
          <w:rFonts w:ascii="Times New Roman CYR" w:hAnsi="Times New Roman CYR" w:cs="Times New Roman CYR"/>
          <w:color w:val="000000"/>
          <w:sz w:val="22"/>
        </w:rPr>
        <w:t xml:space="preserve"> долгосрочная и просроченная задолженность отсутствует</w:t>
      </w:r>
      <w:r w:rsidR="006A6EEE" w:rsidRPr="009C7957">
        <w:rPr>
          <w:rFonts w:ascii="Times New Roman CYR" w:hAnsi="Times New Roman CYR" w:cs="Times New Roman CYR"/>
          <w:color w:val="000000"/>
          <w:sz w:val="22"/>
        </w:rPr>
        <w:t>.</w:t>
      </w:r>
      <w:r w:rsidRPr="009C7957">
        <w:rPr>
          <w:rFonts w:cs="Times New Roman"/>
          <w:color w:val="000000"/>
          <w:sz w:val="22"/>
        </w:rPr>
        <w:t xml:space="preserve"> </w:t>
      </w:r>
    </w:p>
    <w:p w14:paraId="33090982" w14:textId="77777777" w:rsidR="00C80B0C" w:rsidRPr="009C7957" w:rsidRDefault="00C80B0C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BE99FD" w14:textId="77777777" w:rsidR="00861CA4" w:rsidRPr="009C7957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957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37266FFA" w14:textId="77777777" w:rsidR="00861CA4" w:rsidRPr="009C7957" w:rsidRDefault="00861CA4" w:rsidP="00861CA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CE416B" w14:textId="77777777" w:rsidR="007A39EA" w:rsidRDefault="00837865" w:rsidP="00FE15B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9C7957">
        <w:rPr>
          <w:rFonts w:ascii="Times New Roman CYR" w:hAnsi="Times New Roman CYR" w:cs="Times New Roman CYR"/>
          <w:color w:val="000000"/>
          <w:sz w:val="22"/>
        </w:rPr>
        <w:t>Исполнение бюджета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 поселения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 </w:t>
      </w:r>
      <w:r w:rsidR="00016EB6" w:rsidRPr="009C7957">
        <w:rPr>
          <w:rFonts w:ascii="Times New Roman CYR" w:hAnsi="Times New Roman CYR" w:cs="Times New Roman CYR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</w:t>
      </w:r>
    </w:p>
    <w:p w14:paraId="432C6850" w14:textId="77777777" w:rsidR="007A39EA" w:rsidRDefault="007A39EA" w:rsidP="007A3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58A2A768" w14:textId="1566AA66" w:rsidR="00FE15BA" w:rsidRPr="009C7957" w:rsidRDefault="00016EB6" w:rsidP="00D305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9C7957">
        <w:rPr>
          <w:rFonts w:ascii="Times New Roman CYR" w:hAnsi="Times New Roman CYR" w:cs="Times New Roman CYR"/>
          <w:color w:val="000000"/>
          <w:sz w:val="22"/>
        </w:rPr>
        <w:t xml:space="preserve">квартальной и 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>еже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Pr="009C7957">
        <w:rPr>
          <w:rFonts w:cs="Times New Roman"/>
          <w:color w:val="000000"/>
          <w:sz w:val="22"/>
        </w:rPr>
        <w:t>№191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н. 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Годовой отчет об исполнении бюджета поселения в целом соответствует Инструкции </w:t>
      </w:r>
      <w:r w:rsidR="00FE15BA" w:rsidRPr="009C7957">
        <w:rPr>
          <w:rFonts w:cs="Times New Roman"/>
          <w:color w:val="000000"/>
          <w:sz w:val="22"/>
        </w:rPr>
        <w:t>№191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н по полноте (составу и содержанию) и достоверности. 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Плановые показатели, указанные в отчетности, в целом соответствуют показателям утвержденного бюджета поселения (с учетом изменений). 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>О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тчетность в целом отражает фактическое исполнение бюджета 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поселения 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Pr="009C7957">
        <w:rPr>
          <w:rFonts w:cs="Times New Roman"/>
          <w:color w:val="000000"/>
          <w:sz w:val="22"/>
        </w:rPr>
        <w:t>«</w:t>
      </w:r>
      <w:r w:rsidRPr="009C7957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Pr="009C7957">
        <w:rPr>
          <w:rFonts w:cs="Times New Roman"/>
          <w:color w:val="000000"/>
          <w:sz w:val="22"/>
        </w:rPr>
        <w:t xml:space="preserve">», 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Pr="009C7957">
        <w:rPr>
          <w:rFonts w:cs="Times New Roman"/>
          <w:color w:val="000000"/>
          <w:sz w:val="22"/>
        </w:rPr>
        <w:t>№85</w:t>
      </w:r>
      <w:r w:rsidRPr="009C7957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</w:t>
      </w:r>
      <w:r w:rsidR="00FE15BA" w:rsidRPr="009C7957">
        <w:rPr>
          <w:rFonts w:ascii="Times New Roman CYR" w:hAnsi="Times New Roman CYR" w:cs="Times New Roman CYR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72FD1599" w14:textId="6AFDF0DD" w:rsidR="00861CA4" w:rsidRPr="009C7957" w:rsidRDefault="00861CA4" w:rsidP="00861CA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C7957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</w:t>
      </w:r>
      <w:r w:rsidRPr="009C7957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proofErr w:type="spellStart"/>
      <w:r w:rsidR="006123D2" w:rsidRPr="009C7957">
        <w:rPr>
          <w:rFonts w:cs="Times New Roman"/>
          <w:bCs/>
          <w:sz w:val="22"/>
        </w:rPr>
        <w:t>Алейского</w:t>
      </w:r>
      <w:proofErr w:type="spellEnd"/>
      <w:r w:rsidRPr="009C7957">
        <w:rPr>
          <w:rFonts w:cs="Times New Roman"/>
          <w:bCs/>
          <w:sz w:val="22"/>
        </w:rPr>
        <w:t xml:space="preserve"> сельсовета за 2022 год Собранием депутатов </w:t>
      </w:r>
      <w:proofErr w:type="spellStart"/>
      <w:r w:rsidR="006123D2" w:rsidRPr="009C7957">
        <w:rPr>
          <w:rFonts w:cs="Times New Roman"/>
          <w:bCs/>
          <w:sz w:val="22"/>
        </w:rPr>
        <w:t>Алейского</w:t>
      </w:r>
      <w:proofErr w:type="spellEnd"/>
      <w:r w:rsidRPr="009C7957">
        <w:rPr>
          <w:rFonts w:cs="Times New Roman"/>
          <w:bCs/>
          <w:sz w:val="22"/>
        </w:rPr>
        <w:t xml:space="preserve"> сельсовета </w:t>
      </w:r>
      <w:proofErr w:type="spellStart"/>
      <w:r w:rsidRPr="009C7957">
        <w:rPr>
          <w:rFonts w:cs="Times New Roman"/>
          <w:bCs/>
          <w:sz w:val="22"/>
        </w:rPr>
        <w:t>Алейского</w:t>
      </w:r>
      <w:proofErr w:type="spellEnd"/>
      <w:r w:rsidRPr="009C7957">
        <w:rPr>
          <w:rFonts w:cs="Times New Roman"/>
          <w:bCs/>
          <w:sz w:val="22"/>
        </w:rPr>
        <w:t xml:space="preserve"> района Алтайского края.</w:t>
      </w:r>
    </w:p>
    <w:p w14:paraId="49356637" w14:textId="7E9DA799" w:rsidR="00C3324B" w:rsidRPr="00C3324B" w:rsidRDefault="00C3324B" w:rsidP="00C3324B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C3324B">
        <w:rPr>
          <w:rFonts w:eastAsia="Times New Roman" w:cs="Times New Roman"/>
          <w:sz w:val="22"/>
          <w:lang w:eastAsia="ru-RU"/>
        </w:rPr>
        <w:t>Положение о бюджетном процессе в муниципальном образовании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p w14:paraId="78815BC0" w14:textId="77777777" w:rsidR="00D30549" w:rsidRPr="00C3324B" w:rsidRDefault="00D30549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72328018" w14:textId="6E100AF5" w:rsidR="00861CA4" w:rsidRPr="00C3324B" w:rsidRDefault="00861CA4" w:rsidP="00861CA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C3324B">
        <w:rPr>
          <w:rFonts w:cs="Times New Roman"/>
          <w:b/>
          <w:bCs/>
          <w:sz w:val="22"/>
        </w:rPr>
        <w:t>Предложения:</w:t>
      </w:r>
    </w:p>
    <w:p w14:paraId="1669201E" w14:textId="77777777" w:rsidR="00861CA4" w:rsidRPr="00C3324B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5A01DB11" w14:textId="77777777" w:rsidR="007400E1" w:rsidRPr="00C3324B" w:rsidRDefault="007400E1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545745E0" w14:textId="77777777" w:rsidR="00861CA4" w:rsidRPr="00C3324B" w:rsidRDefault="00861CA4" w:rsidP="00861CA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 xml:space="preserve">- Предоставлять в КСП </w:t>
      </w:r>
      <w:proofErr w:type="spellStart"/>
      <w:r w:rsidRPr="00C3324B">
        <w:rPr>
          <w:rFonts w:cs="Times New Roman"/>
          <w:sz w:val="22"/>
        </w:rPr>
        <w:t>Алейского</w:t>
      </w:r>
      <w:proofErr w:type="spellEnd"/>
      <w:r w:rsidRPr="00C3324B">
        <w:rPr>
          <w:rFonts w:cs="Times New Roman"/>
          <w:sz w:val="22"/>
        </w:rPr>
        <w:t xml:space="preserve">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0ED92AA7" w14:textId="77777777" w:rsidR="007A39EA" w:rsidRDefault="00C3324B" w:rsidP="00C3324B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C3324B">
        <w:rPr>
          <w:rFonts w:cs="Times New Roman"/>
          <w:sz w:val="22"/>
        </w:rPr>
        <w:t xml:space="preserve">- Рассмотреть вопрос о внесении изменений в действующее </w:t>
      </w:r>
      <w:r w:rsidRPr="00C3324B">
        <w:rPr>
          <w:rFonts w:eastAsia="Times New Roman" w:cs="Times New Roman"/>
          <w:sz w:val="22"/>
          <w:lang w:eastAsia="ru-RU"/>
        </w:rPr>
        <w:t xml:space="preserve">Положение о бюджетном процессе в муниципальном образовании </w:t>
      </w:r>
      <w:proofErr w:type="spellStart"/>
      <w:r w:rsidR="00B83DAF">
        <w:rPr>
          <w:rFonts w:eastAsia="Times New Roman" w:cs="Times New Roman"/>
          <w:sz w:val="22"/>
          <w:lang w:eastAsia="ru-RU"/>
        </w:rPr>
        <w:t>Алейский</w:t>
      </w:r>
      <w:proofErr w:type="spellEnd"/>
      <w:r w:rsidRPr="00C3324B">
        <w:rPr>
          <w:rFonts w:eastAsia="Times New Roman" w:cs="Times New Roman"/>
          <w:sz w:val="22"/>
          <w:lang w:eastAsia="ru-RU"/>
        </w:rPr>
        <w:t xml:space="preserve"> сельсовет </w:t>
      </w:r>
      <w:proofErr w:type="spellStart"/>
      <w:r w:rsidRPr="00C3324B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3324B">
        <w:rPr>
          <w:rFonts w:eastAsia="Times New Roman" w:cs="Times New Roman"/>
          <w:sz w:val="22"/>
          <w:lang w:eastAsia="ru-RU"/>
        </w:rPr>
        <w:t xml:space="preserve"> района Алтайского края, </w:t>
      </w:r>
    </w:p>
    <w:p w14:paraId="6656AD0C" w14:textId="77777777" w:rsidR="007A39EA" w:rsidRDefault="007A39EA" w:rsidP="007A39EA">
      <w:pPr>
        <w:spacing w:after="0" w:line="360" w:lineRule="auto"/>
        <w:jc w:val="both"/>
        <w:rPr>
          <w:rFonts w:eastAsia="Times New Roman" w:cs="Times New Roman"/>
          <w:sz w:val="22"/>
          <w:lang w:eastAsia="ru-RU"/>
        </w:rPr>
      </w:pPr>
    </w:p>
    <w:p w14:paraId="02C6EF6F" w14:textId="3C460C67" w:rsidR="00C3324B" w:rsidRPr="00D51FE4" w:rsidRDefault="00C3324B" w:rsidP="007A39EA">
      <w:pPr>
        <w:spacing w:after="0" w:line="360" w:lineRule="auto"/>
        <w:jc w:val="both"/>
        <w:rPr>
          <w:rFonts w:cs="Times New Roman"/>
          <w:sz w:val="22"/>
        </w:rPr>
      </w:pPr>
      <w:r w:rsidRPr="00C3324B">
        <w:rPr>
          <w:rFonts w:eastAsia="Times New Roman" w:cs="Times New Roman"/>
          <w:sz w:val="22"/>
          <w:lang w:eastAsia="ru-RU"/>
        </w:rPr>
        <w:t xml:space="preserve">утвержденное Решением Собрания депутатов </w:t>
      </w:r>
      <w:proofErr w:type="spellStart"/>
      <w:r w:rsidRPr="00C3324B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3324B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Pr="00C3324B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C3324B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Pr="00C3324B">
        <w:rPr>
          <w:rFonts w:eastAsia="Times New Roman" w:cs="Times New Roman"/>
          <w:sz w:val="22"/>
        </w:rPr>
        <w:t>27.03.2014г. №</w:t>
      </w:r>
      <w:r w:rsidRPr="009C7957">
        <w:rPr>
          <w:rFonts w:eastAsia="Times New Roman" w:cs="Times New Roman"/>
          <w:sz w:val="22"/>
        </w:rPr>
        <w:t>4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</w:t>
      </w:r>
      <w:r w:rsidR="00B83DAF">
        <w:rPr>
          <w:rFonts w:cs="Times New Roman"/>
          <w:sz w:val="22"/>
        </w:rPr>
        <w:t>на</w:t>
      </w:r>
      <w:r>
        <w:rPr>
          <w:rFonts w:cs="Times New Roman"/>
          <w:sz w:val="22"/>
        </w:rPr>
        <w:t xml:space="preserve"> очередно</w:t>
      </w:r>
      <w:r w:rsidR="00B83DAF">
        <w:rPr>
          <w:rFonts w:cs="Times New Roman"/>
          <w:sz w:val="22"/>
        </w:rPr>
        <w:t>м</w:t>
      </w:r>
      <w:r>
        <w:rPr>
          <w:rFonts w:cs="Times New Roman"/>
          <w:sz w:val="22"/>
        </w:rPr>
        <w:t xml:space="preserve"> заседани</w:t>
      </w:r>
      <w:r w:rsidR="00B83DAF">
        <w:rPr>
          <w:rFonts w:cs="Times New Roman"/>
          <w:sz w:val="22"/>
        </w:rPr>
        <w:t>и</w:t>
      </w:r>
      <w:r>
        <w:rPr>
          <w:rFonts w:cs="Times New Roman"/>
          <w:sz w:val="22"/>
        </w:rPr>
        <w:t xml:space="preserve"> Собрания депутатов поселения. </w:t>
      </w:r>
    </w:p>
    <w:p w14:paraId="11544979" w14:textId="6CC5B86F" w:rsidR="006123D2" w:rsidRPr="009C7957" w:rsidRDefault="006123D2" w:rsidP="006123D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полномочий контрольно-счетного органа муниципального образования </w:t>
      </w:r>
      <w:proofErr w:type="spellStart"/>
      <w:r w:rsidRPr="009C7957">
        <w:rPr>
          <w:rFonts w:cs="Times New Roman"/>
          <w:sz w:val="22"/>
        </w:rPr>
        <w:t>Алейский</w:t>
      </w:r>
      <w:proofErr w:type="spellEnd"/>
      <w:r w:rsidRPr="009C7957">
        <w:rPr>
          <w:rFonts w:cs="Times New Roman"/>
          <w:sz w:val="22"/>
        </w:rPr>
        <w:t xml:space="preserve"> сельсовет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по осуществлению внешнего муниципального финансового контроля. Во исполнение вышеуказанного Соглашения, направлять в КСП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</w:t>
      </w:r>
      <w:proofErr w:type="spellStart"/>
      <w:r w:rsidRPr="009C7957">
        <w:rPr>
          <w:rFonts w:cs="Times New Roman"/>
          <w:sz w:val="22"/>
        </w:rPr>
        <w:t>Алейского</w:t>
      </w:r>
      <w:proofErr w:type="spellEnd"/>
      <w:r w:rsidRPr="009C7957">
        <w:rPr>
          <w:rFonts w:cs="Times New Roman"/>
          <w:sz w:val="22"/>
        </w:rPr>
        <w:t xml:space="preserve"> района </w:t>
      </w:r>
      <w:r w:rsidR="009C7957" w:rsidRPr="009C7957">
        <w:rPr>
          <w:rFonts w:cs="Times New Roman"/>
          <w:sz w:val="22"/>
        </w:rPr>
        <w:t>(</w:t>
      </w:r>
      <w:r w:rsidRPr="009C7957">
        <w:rPr>
          <w:rFonts w:cs="Times New Roman"/>
          <w:sz w:val="22"/>
        </w:rPr>
        <w:t>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C7957" w:rsidRPr="009C7957">
        <w:rPr>
          <w:rFonts w:cs="Times New Roman"/>
          <w:sz w:val="22"/>
        </w:rPr>
        <w:t>)</w:t>
      </w:r>
      <w:r w:rsidRPr="009C7957">
        <w:rPr>
          <w:rFonts w:cs="Times New Roman"/>
          <w:sz w:val="22"/>
        </w:rPr>
        <w:t>.</w:t>
      </w:r>
    </w:p>
    <w:p w14:paraId="60293359" w14:textId="77777777" w:rsidR="008C2CF2" w:rsidRPr="009C7957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27A3CBB4" w14:textId="3639667C" w:rsidR="00227A41" w:rsidRPr="009C7957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1" w:name="_GoBack"/>
      <w:bookmarkEnd w:id="1"/>
    </w:p>
    <w:p w14:paraId="51CA8138" w14:textId="77777777" w:rsidR="0018512A" w:rsidRPr="009C7957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9C7957">
        <w:rPr>
          <w:sz w:val="22"/>
        </w:rPr>
        <w:t xml:space="preserve">Председатель </w:t>
      </w:r>
    </w:p>
    <w:p w14:paraId="60CC3076" w14:textId="77777777" w:rsidR="00BB4872" w:rsidRPr="009C7957" w:rsidRDefault="00BB4872" w:rsidP="00275198">
      <w:pPr>
        <w:spacing w:after="0" w:line="360" w:lineRule="auto"/>
        <w:ind w:firstLine="284"/>
        <w:jc w:val="both"/>
        <w:rPr>
          <w:sz w:val="22"/>
        </w:rPr>
      </w:pPr>
      <w:r w:rsidRPr="009C7957">
        <w:rPr>
          <w:sz w:val="22"/>
        </w:rPr>
        <w:t xml:space="preserve">контрольно-счетной палаты   </w:t>
      </w:r>
    </w:p>
    <w:p w14:paraId="146C0705" w14:textId="77777777" w:rsidR="008B3D96" w:rsidRPr="009C7957" w:rsidRDefault="00BB4872" w:rsidP="00275198">
      <w:pPr>
        <w:spacing w:after="0" w:line="360" w:lineRule="auto"/>
        <w:ind w:firstLine="284"/>
        <w:jc w:val="both"/>
        <w:rPr>
          <w:sz w:val="22"/>
        </w:rPr>
      </w:pPr>
      <w:proofErr w:type="spellStart"/>
      <w:r w:rsidRPr="009C7957">
        <w:rPr>
          <w:sz w:val="22"/>
        </w:rPr>
        <w:t>Алейского</w:t>
      </w:r>
      <w:proofErr w:type="spellEnd"/>
      <w:r w:rsidRPr="009C7957">
        <w:rPr>
          <w:sz w:val="22"/>
        </w:rPr>
        <w:t xml:space="preserve"> района Алтайского края                               </w:t>
      </w:r>
      <w:r w:rsidR="0018512A" w:rsidRPr="009C7957">
        <w:rPr>
          <w:sz w:val="22"/>
        </w:rPr>
        <w:t xml:space="preserve">          </w:t>
      </w:r>
      <w:r w:rsidRPr="009C7957">
        <w:rPr>
          <w:sz w:val="22"/>
        </w:rPr>
        <w:t xml:space="preserve">   </w:t>
      </w:r>
      <w:r w:rsidR="00861CA4" w:rsidRPr="009C7957">
        <w:rPr>
          <w:sz w:val="22"/>
        </w:rPr>
        <w:tab/>
      </w:r>
      <w:r w:rsidR="00861CA4" w:rsidRPr="009C7957">
        <w:rPr>
          <w:sz w:val="22"/>
        </w:rPr>
        <w:tab/>
      </w:r>
      <w:r w:rsidR="00861CA4" w:rsidRPr="009C7957">
        <w:rPr>
          <w:sz w:val="22"/>
        </w:rPr>
        <w:tab/>
      </w:r>
      <w:r w:rsidRPr="009C7957">
        <w:rPr>
          <w:sz w:val="22"/>
        </w:rPr>
        <w:t xml:space="preserve">   Захарова А.С.</w:t>
      </w:r>
    </w:p>
    <w:sectPr w:rsidR="008B3D96" w:rsidRPr="009C7957" w:rsidSect="007A3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56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4434" w14:textId="77777777" w:rsidR="00210CB9" w:rsidRDefault="00210CB9" w:rsidP="00E5236F">
      <w:pPr>
        <w:spacing w:after="0"/>
      </w:pPr>
      <w:r>
        <w:separator/>
      </w:r>
    </w:p>
  </w:endnote>
  <w:endnote w:type="continuationSeparator" w:id="0">
    <w:p w14:paraId="5ECF0FEB" w14:textId="77777777" w:rsidR="00210CB9" w:rsidRDefault="00210CB9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F0BC" w14:textId="77777777" w:rsidR="00B72D65" w:rsidRDefault="00B72D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4EFA" w14:textId="77777777" w:rsidR="00B72D65" w:rsidRDefault="00B72D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EAFB" w14:textId="77777777" w:rsidR="00B72D65" w:rsidRDefault="00B72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97E1" w14:textId="77777777" w:rsidR="00210CB9" w:rsidRDefault="00210CB9" w:rsidP="00E5236F">
      <w:pPr>
        <w:spacing w:after="0"/>
      </w:pPr>
      <w:r>
        <w:separator/>
      </w:r>
    </w:p>
  </w:footnote>
  <w:footnote w:type="continuationSeparator" w:id="0">
    <w:p w14:paraId="11551F73" w14:textId="77777777" w:rsidR="00210CB9" w:rsidRDefault="00210CB9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1700" w14:textId="77777777" w:rsidR="00B72D65" w:rsidRDefault="00B72D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25B4" w14:textId="77777777" w:rsidR="00B72D65" w:rsidRDefault="00B72D65" w:rsidP="00E5236F">
    <w:pPr>
      <w:pStyle w:val="a3"/>
      <w:jc w:val="center"/>
      <w:rPr>
        <w:b/>
        <w:bCs/>
        <w:color w:val="000000" w:themeColor="text1"/>
      </w:rPr>
    </w:pPr>
  </w:p>
  <w:p w14:paraId="4C883EE9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1E2464A" w14:textId="77777777" w:rsidR="00B72D65" w:rsidRPr="00DA1FCA" w:rsidRDefault="00B72D6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0AF4FF7" w14:textId="77777777" w:rsidR="00B72D65" w:rsidRPr="00DA1FCA" w:rsidRDefault="00B72D65" w:rsidP="00E5236F">
    <w:pPr>
      <w:pStyle w:val="a3"/>
      <w:jc w:val="center"/>
      <w:rPr>
        <w:color w:val="000000" w:themeColor="text1"/>
      </w:rPr>
    </w:pPr>
  </w:p>
  <w:p w14:paraId="609B6A5B" w14:textId="77777777" w:rsidR="00B72D65" w:rsidRPr="00C51EE0" w:rsidRDefault="00B72D6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AF30" w14:textId="77777777" w:rsidR="00B72D65" w:rsidRDefault="00B72D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6EB6"/>
    <w:rsid w:val="000222AA"/>
    <w:rsid w:val="00024166"/>
    <w:rsid w:val="00026D47"/>
    <w:rsid w:val="00030D53"/>
    <w:rsid w:val="00034134"/>
    <w:rsid w:val="00034A87"/>
    <w:rsid w:val="00047208"/>
    <w:rsid w:val="00053551"/>
    <w:rsid w:val="000536AC"/>
    <w:rsid w:val="00062FCC"/>
    <w:rsid w:val="00063181"/>
    <w:rsid w:val="00071E12"/>
    <w:rsid w:val="000822C3"/>
    <w:rsid w:val="00084535"/>
    <w:rsid w:val="000850D4"/>
    <w:rsid w:val="00090999"/>
    <w:rsid w:val="00093215"/>
    <w:rsid w:val="000A41AC"/>
    <w:rsid w:val="000A6B47"/>
    <w:rsid w:val="000B1EAF"/>
    <w:rsid w:val="000B5A85"/>
    <w:rsid w:val="000C1F1B"/>
    <w:rsid w:val="000C393C"/>
    <w:rsid w:val="000C7AD7"/>
    <w:rsid w:val="000D02F8"/>
    <w:rsid w:val="000D3D62"/>
    <w:rsid w:val="000D6701"/>
    <w:rsid w:val="001040CC"/>
    <w:rsid w:val="0011013A"/>
    <w:rsid w:val="0011091D"/>
    <w:rsid w:val="00112D2C"/>
    <w:rsid w:val="0013193F"/>
    <w:rsid w:val="001345C4"/>
    <w:rsid w:val="001359E7"/>
    <w:rsid w:val="001415A3"/>
    <w:rsid w:val="00147553"/>
    <w:rsid w:val="00150EE7"/>
    <w:rsid w:val="0015686E"/>
    <w:rsid w:val="00167703"/>
    <w:rsid w:val="0016782F"/>
    <w:rsid w:val="00182FD7"/>
    <w:rsid w:val="00183E3C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31B8"/>
    <w:rsid w:val="002029E5"/>
    <w:rsid w:val="00210CB9"/>
    <w:rsid w:val="00213839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1184"/>
    <w:rsid w:val="002622B1"/>
    <w:rsid w:val="00262882"/>
    <w:rsid w:val="002663FC"/>
    <w:rsid w:val="00275198"/>
    <w:rsid w:val="0028257E"/>
    <w:rsid w:val="00284271"/>
    <w:rsid w:val="00284367"/>
    <w:rsid w:val="00293C69"/>
    <w:rsid w:val="00293D0C"/>
    <w:rsid w:val="002A2F49"/>
    <w:rsid w:val="002B05C2"/>
    <w:rsid w:val="002B2D3A"/>
    <w:rsid w:val="002B63F0"/>
    <w:rsid w:val="002D0BF0"/>
    <w:rsid w:val="002D727A"/>
    <w:rsid w:val="002E11D2"/>
    <w:rsid w:val="003032DF"/>
    <w:rsid w:val="00307901"/>
    <w:rsid w:val="0032001B"/>
    <w:rsid w:val="00322D33"/>
    <w:rsid w:val="00324F62"/>
    <w:rsid w:val="0032670F"/>
    <w:rsid w:val="00326D80"/>
    <w:rsid w:val="00327BD5"/>
    <w:rsid w:val="00335B41"/>
    <w:rsid w:val="00345886"/>
    <w:rsid w:val="00352A77"/>
    <w:rsid w:val="00352DF1"/>
    <w:rsid w:val="003547A9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859C6"/>
    <w:rsid w:val="003905E3"/>
    <w:rsid w:val="003905F1"/>
    <w:rsid w:val="003A0C64"/>
    <w:rsid w:val="003A3CE6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47F2"/>
    <w:rsid w:val="003F7BD9"/>
    <w:rsid w:val="004007C0"/>
    <w:rsid w:val="00402D31"/>
    <w:rsid w:val="00404CC6"/>
    <w:rsid w:val="00406FE1"/>
    <w:rsid w:val="0041441F"/>
    <w:rsid w:val="004224C1"/>
    <w:rsid w:val="00423143"/>
    <w:rsid w:val="0043156A"/>
    <w:rsid w:val="00433F35"/>
    <w:rsid w:val="00437F7A"/>
    <w:rsid w:val="00443DC4"/>
    <w:rsid w:val="00453604"/>
    <w:rsid w:val="00460026"/>
    <w:rsid w:val="004603F2"/>
    <w:rsid w:val="004635DD"/>
    <w:rsid w:val="00464FA8"/>
    <w:rsid w:val="004659C4"/>
    <w:rsid w:val="00473BAD"/>
    <w:rsid w:val="004824FB"/>
    <w:rsid w:val="004848FD"/>
    <w:rsid w:val="0049732B"/>
    <w:rsid w:val="004A0672"/>
    <w:rsid w:val="004A2C9D"/>
    <w:rsid w:val="004B2A86"/>
    <w:rsid w:val="004B449D"/>
    <w:rsid w:val="004B47A8"/>
    <w:rsid w:val="004B7A75"/>
    <w:rsid w:val="004C0B4B"/>
    <w:rsid w:val="004C15B4"/>
    <w:rsid w:val="004C2936"/>
    <w:rsid w:val="004D185C"/>
    <w:rsid w:val="004D54BF"/>
    <w:rsid w:val="004D62B6"/>
    <w:rsid w:val="004E3F4F"/>
    <w:rsid w:val="004E7C80"/>
    <w:rsid w:val="004F2DDC"/>
    <w:rsid w:val="0050566B"/>
    <w:rsid w:val="00505C32"/>
    <w:rsid w:val="00505F31"/>
    <w:rsid w:val="00536B94"/>
    <w:rsid w:val="00537662"/>
    <w:rsid w:val="0054105E"/>
    <w:rsid w:val="00547CAE"/>
    <w:rsid w:val="00560446"/>
    <w:rsid w:val="00564FBD"/>
    <w:rsid w:val="00571130"/>
    <w:rsid w:val="005767C8"/>
    <w:rsid w:val="00577775"/>
    <w:rsid w:val="00581E67"/>
    <w:rsid w:val="005A0845"/>
    <w:rsid w:val="005A6D67"/>
    <w:rsid w:val="005B1006"/>
    <w:rsid w:val="005C0C70"/>
    <w:rsid w:val="005C56C5"/>
    <w:rsid w:val="005D0734"/>
    <w:rsid w:val="005E011A"/>
    <w:rsid w:val="005E1FEB"/>
    <w:rsid w:val="00610CF0"/>
    <w:rsid w:val="006117B4"/>
    <w:rsid w:val="006123D2"/>
    <w:rsid w:val="00633342"/>
    <w:rsid w:val="00635C20"/>
    <w:rsid w:val="00641307"/>
    <w:rsid w:val="00646BE6"/>
    <w:rsid w:val="006501F5"/>
    <w:rsid w:val="00666D96"/>
    <w:rsid w:val="00672286"/>
    <w:rsid w:val="00677E34"/>
    <w:rsid w:val="006823E9"/>
    <w:rsid w:val="0069065C"/>
    <w:rsid w:val="0069499B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1AC"/>
    <w:rsid w:val="006D0144"/>
    <w:rsid w:val="006D3D1D"/>
    <w:rsid w:val="006D5ED3"/>
    <w:rsid w:val="006D65EF"/>
    <w:rsid w:val="006E33F1"/>
    <w:rsid w:val="006F39F8"/>
    <w:rsid w:val="006F3C6C"/>
    <w:rsid w:val="00702727"/>
    <w:rsid w:val="00703EAF"/>
    <w:rsid w:val="00711968"/>
    <w:rsid w:val="00712FDD"/>
    <w:rsid w:val="00715744"/>
    <w:rsid w:val="007172D8"/>
    <w:rsid w:val="00720DB9"/>
    <w:rsid w:val="00724B1F"/>
    <w:rsid w:val="00727908"/>
    <w:rsid w:val="007353CC"/>
    <w:rsid w:val="007357A2"/>
    <w:rsid w:val="007400E1"/>
    <w:rsid w:val="00740AA7"/>
    <w:rsid w:val="007445EB"/>
    <w:rsid w:val="0074606C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A39EA"/>
    <w:rsid w:val="007B5273"/>
    <w:rsid w:val="007B6C74"/>
    <w:rsid w:val="007C0024"/>
    <w:rsid w:val="007C132B"/>
    <w:rsid w:val="007C17AA"/>
    <w:rsid w:val="007C33ED"/>
    <w:rsid w:val="007D1D9D"/>
    <w:rsid w:val="007D3C91"/>
    <w:rsid w:val="007D4EB4"/>
    <w:rsid w:val="007D6ABB"/>
    <w:rsid w:val="007D6F39"/>
    <w:rsid w:val="007D788B"/>
    <w:rsid w:val="007E2E24"/>
    <w:rsid w:val="007F1151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966"/>
    <w:rsid w:val="00847D1C"/>
    <w:rsid w:val="008563E3"/>
    <w:rsid w:val="0086173A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29ED"/>
    <w:rsid w:val="00943BCD"/>
    <w:rsid w:val="0094784F"/>
    <w:rsid w:val="00954FEC"/>
    <w:rsid w:val="0095728A"/>
    <w:rsid w:val="00961E70"/>
    <w:rsid w:val="00985B4F"/>
    <w:rsid w:val="00992864"/>
    <w:rsid w:val="009A3015"/>
    <w:rsid w:val="009A3349"/>
    <w:rsid w:val="009A38B2"/>
    <w:rsid w:val="009A4838"/>
    <w:rsid w:val="009B0907"/>
    <w:rsid w:val="009B2E74"/>
    <w:rsid w:val="009B414E"/>
    <w:rsid w:val="009C11A0"/>
    <w:rsid w:val="009C4311"/>
    <w:rsid w:val="009C5E75"/>
    <w:rsid w:val="009C60AC"/>
    <w:rsid w:val="009C7957"/>
    <w:rsid w:val="009D2502"/>
    <w:rsid w:val="009E3AE9"/>
    <w:rsid w:val="00A04D2F"/>
    <w:rsid w:val="00A0505D"/>
    <w:rsid w:val="00A0675D"/>
    <w:rsid w:val="00A10578"/>
    <w:rsid w:val="00A17D5D"/>
    <w:rsid w:val="00A26544"/>
    <w:rsid w:val="00A3669B"/>
    <w:rsid w:val="00A42FD9"/>
    <w:rsid w:val="00A62D66"/>
    <w:rsid w:val="00A63946"/>
    <w:rsid w:val="00A710C5"/>
    <w:rsid w:val="00A8302B"/>
    <w:rsid w:val="00A859B7"/>
    <w:rsid w:val="00A87972"/>
    <w:rsid w:val="00AA1A07"/>
    <w:rsid w:val="00AA1F02"/>
    <w:rsid w:val="00AA303A"/>
    <w:rsid w:val="00AA5983"/>
    <w:rsid w:val="00AA7E38"/>
    <w:rsid w:val="00AB0A81"/>
    <w:rsid w:val="00AB17EB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5193"/>
    <w:rsid w:val="00B01E82"/>
    <w:rsid w:val="00B1512B"/>
    <w:rsid w:val="00B164F1"/>
    <w:rsid w:val="00B24184"/>
    <w:rsid w:val="00B24BB8"/>
    <w:rsid w:val="00B3043E"/>
    <w:rsid w:val="00B31D3C"/>
    <w:rsid w:val="00B34497"/>
    <w:rsid w:val="00B34C63"/>
    <w:rsid w:val="00B46F1C"/>
    <w:rsid w:val="00B47361"/>
    <w:rsid w:val="00B5183E"/>
    <w:rsid w:val="00B54858"/>
    <w:rsid w:val="00B62A40"/>
    <w:rsid w:val="00B72D65"/>
    <w:rsid w:val="00B76331"/>
    <w:rsid w:val="00B8303B"/>
    <w:rsid w:val="00B83DAF"/>
    <w:rsid w:val="00B85D7C"/>
    <w:rsid w:val="00B90D7F"/>
    <w:rsid w:val="00B910DF"/>
    <w:rsid w:val="00B915B7"/>
    <w:rsid w:val="00B97FCC"/>
    <w:rsid w:val="00BA1325"/>
    <w:rsid w:val="00BA2989"/>
    <w:rsid w:val="00BB07DF"/>
    <w:rsid w:val="00BB3A11"/>
    <w:rsid w:val="00BB4872"/>
    <w:rsid w:val="00BB48EF"/>
    <w:rsid w:val="00BB7B82"/>
    <w:rsid w:val="00BC39EB"/>
    <w:rsid w:val="00BC5237"/>
    <w:rsid w:val="00BD1CDF"/>
    <w:rsid w:val="00C01312"/>
    <w:rsid w:val="00C02E67"/>
    <w:rsid w:val="00C02FBC"/>
    <w:rsid w:val="00C05A55"/>
    <w:rsid w:val="00C05E9D"/>
    <w:rsid w:val="00C13F7A"/>
    <w:rsid w:val="00C1595A"/>
    <w:rsid w:val="00C25A8D"/>
    <w:rsid w:val="00C260FA"/>
    <w:rsid w:val="00C3324B"/>
    <w:rsid w:val="00C36423"/>
    <w:rsid w:val="00C36EA2"/>
    <w:rsid w:val="00C43427"/>
    <w:rsid w:val="00C441CE"/>
    <w:rsid w:val="00C44952"/>
    <w:rsid w:val="00C478E7"/>
    <w:rsid w:val="00C51EE0"/>
    <w:rsid w:val="00C536A8"/>
    <w:rsid w:val="00C61B62"/>
    <w:rsid w:val="00C626EF"/>
    <w:rsid w:val="00C6398C"/>
    <w:rsid w:val="00C67630"/>
    <w:rsid w:val="00C70D91"/>
    <w:rsid w:val="00C80B0C"/>
    <w:rsid w:val="00C83D72"/>
    <w:rsid w:val="00C86EBD"/>
    <w:rsid w:val="00CA4AB3"/>
    <w:rsid w:val="00CA7267"/>
    <w:rsid w:val="00CB3403"/>
    <w:rsid w:val="00CC5EA3"/>
    <w:rsid w:val="00CE5279"/>
    <w:rsid w:val="00CE5A97"/>
    <w:rsid w:val="00CE6710"/>
    <w:rsid w:val="00CE68DB"/>
    <w:rsid w:val="00CE787E"/>
    <w:rsid w:val="00D02560"/>
    <w:rsid w:val="00D03B88"/>
    <w:rsid w:val="00D04C18"/>
    <w:rsid w:val="00D05746"/>
    <w:rsid w:val="00D073A6"/>
    <w:rsid w:val="00D07EA3"/>
    <w:rsid w:val="00D102C8"/>
    <w:rsid w:val="00D2298C"/>
    <w:rsid w:val="00D277AF"/>
    <w:rsid w:val="00D30549"/>
    <w:rsid w:val="00D35345"/>
    <w:rsid w:val="00D3595E"/>
    <w:rsid w:val="00D46B79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59E7"/>
    <w:rsid w:val="00DF67ED"/>
    <w:rsid w:val="00E035C6"/>
    <w:rsid w:val="00E043B9"/>
    <w:rsid w:val="00E06563"/>
    <w:rsid w:val="00E176E0"/>
    <w:rsid w:val="00E21ACE"/>
    <w:rsid w:val="00E23916"/>
    <w:rsid w:val="00E246D8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85603"/>
    <w:rsid w:val="00E9213E"/>
    <w:rsid w:val="00EA33F3"/>
    <w:rsid w:val="00EA59DF"/>
    <w:rsid w:val="00EB15F7"/>
    <w:rsid w:val="00EB3CAB"/>
    <w:rsid w:val="00EC1DB0"/>
    <w:rsid w:val="00EC2516"/>
    <w:rsid w:val="00EC2620"/>
    <w:rsid w:val="00EC6B1D"/>
    <w:rsid w:val="00ED18F2"/>
    <w:rsid w:val="00ED213B"/>
    <w:rsid w:val="00EE4070"/>
    <w:rsid w:val="00EE55CD"/>
    <w:rsid w:val="00EF19EC"/>
    <w:rsid w:val="00EF27F0"/>
    <w:rsid w:val="00F07118"/>
    <w:rsid w:val="00F1175A"/>
    <w:rsid w:val="00F120BB"/>
    <w:rsid w:val="00F12BE3"/>
    <w:rsid w:val="00F12C76"/>
    <w:rsid w:val="00F14337"/>
    <w:rsid w:val="00F14C6C"/>
    <w:rsid w:val="00F2514B"/>
    <w:rsid w:val="00F3450F"/>
    <w:rsid w:val="00F43697"/>
    <w:rsid w:val="00F5461C"/>
    <w:rsid w:val="00F56F4B"/>
    <w:rsid w:val="00F61638"/>
    <w:rsid w:val="00F726E9"/>
    <w:rsid w:val="00F75FED"/>
    <w:rsid w:val="00F804DC"/>
    <w:rsid w:val="00F8326B"/>
    <w:rsid w:val="00F87847"/>
    <w:rsid w:val="00F90384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45AE"/>
    <w:rsid w:val="00FF11E3"/>
    <w:rsid w:val="00FF164B"/>
    <w:rsid w:val="00FF1D39"/>
    <w:rsid w:val="00FF3C5B"/>
    <w:rsid w:val="00FF436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7F56"/>
  <w15:docId w15:val="{8FF71C2C-8B6A-4365-9641-33FBA21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2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BD11-9DC2-41A6-9C7F-0CEF595E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2023-04-21T02:23:00Z</cp:lastPrinted>
  <dcterms:created xsi:type="dcterms:W3CDTF">2023-04-10T09:44:00Z</dcterms:created>
  <dcterms:modified xsi:type="dcterms:W3CDTF">2023-05-16T02:48:00Z</dcterms:modified>
</cp:coreProperties>
</file>